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33BC3">
      <w:pPr>
        <w:tabs>
          <w:tab w:val="left" w:pos="6219"/>
        </w:tabs>
        <w:autoSpaceDE w:val="0"/>
        <w:autoSpaceDN w:val="0"/>
        <w:adjustRightInd w:val="0"/>
        <w:snapToGrid w:val="0"/>
        <w:spacing w:line="360" w:lineRule="auto"/>
        <w:jc w:val="center"/>
        <w:rPr>
          <w:rFonts w:hint="eastAsia" w:ascii="宋体" w:hAnsi="宋体" w:cs="宋体"/>
          <w:b w:val="0"/>
          <w:bCs/>
          <w:color w:val="auto"/>
          <w:w w:val="99"/>
          <w:kern w:val="0"/>
          <w:sz w:val="36"/>
          <w:szCs w:val="36"/>
          <w:highlight w:val="none"/>
        </w:rPr>
      </w:pPr>
      <w:bookmarkStart w:id="0" w:name="_Toc287620665"/>
      <w:r>
        <w:rPr>
          <w:rFonts w:hint="eastAsia" w:ascii="宋体" w:hAnsi="宋体" w:cs="宋体"/>
          <w:b w:val="0"/>
          <w:bCs/>
          <w:color w:val="auto"/>
          <w:w w:val="99"/>
          <w:kern w:val="0"/>
          <w:sz w:val="36"/>
          <w:szCs w:val="36"/>
          <w:highlight w:val="none"/>
        </w:rPr>
        <w:t>重庆三航新材料技术研究院有限公司泸州项目设备</w:t>
      </w:r>
    </w:p>
    <w:p w14:paraId="7F033BC4">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5">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6">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7">
      <w:pPr>
        <w:pStyle w:val="2"/>
        <w:rPr>
          <w:rFonts w:hint="eastAsia" w:ascii="宋体" w:hAnsi="宋体" w:cs="宋体"/>
          <w:b w:val="0"/>
          <w:bCs/>
          <w:color w:val="auto"/>
          <w:kern w:val="0"/>
          <w:sz w:val="20"/>
          <w:szCs w:val="20"/>
          <w:highlight w:val="none"/>
        </w:rPr>
      </w:pPr>
    </w:p>
    <w:p w14:paraId="7F033BC8">
      <w:pPr>
        <w:rPr>
          <w:rFonts w:ascii="宋体" w:hAnsi="宋体" w:cs="宋体"/>
          <w:b w:val="0"/>
          <w:bCs/>
          <w:color w:val="auto"/>
          <w:highlight w:val="none"/>
        </w:rPr>
      </w:pPr>
    </w:p>
    <w:p w14:paraId="7F033BC9">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A">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B">
      <w:pPr>
        <w:autoSpaceDE w:val="0"/>
        <w:autoSpaceDN w:val="0"/>
        <w:adjustRightInd w:val="0"/>
        <w:snapToGrid w:val="0"/>
        <w:spacing w:line="360" w:lineRule="auto"/>
        <w:jc w:val="center"/>
        <w:rPr>
          <w:rFonts w:hint="eastAsia" w:ascii="宋体" w:hAnsi="宋体" w:cs="宋体"/>
          <w:b w:val="0"/>
          <w:bCs/>
          <w:color w:val="auto"/>
          <w:kern w:val="0"/>
          <w:sz w:val="72"/>
          <w:szCs w:val="72"/>
          <w:highlight w:val="none"/>
        </w:rPr>
      </w:pPr>
      <w:r>
        <w:rPr>
          <w:rFonts w:hint="eastAsia" w:ascii="宋体" w:hAnsi="宋体" w:cs="宋体"/>
          <w:b w:val="0"/>
          <w:bCs/>
          <w:color w:val="auto"/>
          <w:kern w:val="0"/>
          <w:sz w:val="72"/>
          <w:szCs w:val="72"/>
          <w:highlight w:val="none"/>
        </w:rPr>
        <w:t>货 物 采 购 招 标 文 件</w:t>
      </w:r>
    </w:p>
    <w:p w14:paraId="7F033BCC">
      <w:pPr>
        <w:autoSpaceDE w:val="0"/>
        <w:autoSpaceDN w:val="0"/>
        <w:adjustRightInd w:val="0"/>
        <w:snapToGrid w:val="0"/>
        <w:spacing w:line="360" w:lineRule="auto"/>
        <w:jc w:val="left"/>
        <w:rPr>
          <w:rFonts w:hint="eastAsia" w:ascii="宋体" w:hAnsi="宋体" w:cs="宋体"/>
          <w:b w:val="0"/>
          <w:bCs/>
          <w:color w:val="auto"/>
          <w:kern w:val="0"/>
          <w:sz w:val="10"/>
          <w:szCs w:val="10"/>
          <w:highlight w:val="none"/>
        </w:rPr>
      </w:pPr>
    </w:p>
    <w:p w14:paraId="7F033BCD">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E">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CF">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D0">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D1">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D2">
      <w:pPr>
        <w:pStyle w:val="2"/>
        <w:rPr>
          <w:rFonts w:hint="eastAsia" w:ascii="宋体" w:hAnsi="宋体" w:cs="宋体"/>
          <w:b w:val="0"/>
          <w:bCs/>
          <w:color w:val="auto"/>
          <w:kern w:val="0"/>
          <w:sz w:val="20"/>
          <w:szCs w:val="20"/>
          <w:highlight w:val="none"/>
        </w:rPr>
      </w:pPr>
    </w:p>
    <w:p w14:paraId="7F033BD3">
      <w:pPr>
        <w:rPr>
          <w:rFonts w:hint="eastAsia" w:ascii="宋体" w:hAnsi="宋体" w:cs="宋体"/>
          <w:b w:val="0"/>
          <w:bCs/>
          <w:color w:val="auto"/>
          <w:kern w:val="0"/>
          <w:sz w:val="20"/>
          <w:szCs w:val="20"/>
          <w:highlight w:val="none"/>
        </w:rPr>
      </w:pPr>
    </w:p>
    <w:p w14:paraId="7F033BD4">
      <w:pPr>
        <w:pStyle w:val="2"/>
        <w:rPr>
          <w:rFonts w:hint="eastAsia" w:ascii="宋体" w:hAnsi="宋体" w:cs="宋体"/>
          <w:b w:val="0"/>
          <w:bCs/>
          <w:color w:val="auto"/>
          <w:kern w:val="0"/>
          <w:sz w:val="20"/>
          <w:szCs w:val="20"/>
          <w:highlight w:val="none"/>
        </w:rPr>
      </w:pPr>
    </w:p>
    <w:p w14:paraId="7F033BD5">
      <w:pPr>
        <w:rPr>
          <w:rFonts w:hint="eastAsia" w:ascii="宋体" w:hAnsi="宋体" w:cs="宋体"/>
          <w:b w:val="0"/>
          <w:bCs/>
          <w:color w:val="auto"/>
          <w:kern w:val="0"/>
          <w:sz w:val="20"/>
          <w:szCs w:val="20"/>
          <w:highlight w:val="none"/>
        </w:rPr>
      </w:pPr>
    </w:p>
    <w:p w14:paraId="7F033BD6">
      <w:pPr>
        <w:pStyle w:val="2"/>
        <w:rPr>
          <w:rFonts w:hint="eastAsia" w:ascii="宋体" w:hAnsi="宋体" w:cs="宋体"/>
          <w:b w:val="0"/>
          <w:bCs/>
          <w:color w:val="auto"/>
          <w:kern w:val="0"/>
          <w:sz w:val="20"/>
          <w:szCs w:val="20"/>
          <w:highlight w:val="none"/>
        </w:rPr>
      </w:pPr>
    </w:p>
    <w:p w14:paraId="7F033BD7">
      <w:pPr>
        <w:rPr>
          <w:rFonts w:hint="eastAsia" w:ascii="宋体" w:hAnsi="宋体" w:cs="宋体"/>
          <w:b w:val="0"/>
          <w:bCs/>
          <w:color w:val="auto"/>
          <w:kern w:val="0"/>
          <w:sz w:val="20"/>
          <w:szCs w:val="20"/>
          <w:highlight w:val="none"/>
        </w:rPr>
      </w:pPr>
    </w:p>
    <w:p w14:paraId="7F033BD8">
      <w:pPr>
        <w:pStyle w:val="2"/>
        <w:rPr>
          <w:rFonts w:hint="eastAsia" w:ascii="宋体" w:hAnsi="宋体" w:cs="宋体"/>
          <w:b w:val="0"/>
          <w:bCs/>
          <w:color w:val="auto"/>
          <w:kern w:val="0"/>
          <w:sz w:val="20"/>
          <w:szCs w:val="20"/>
          <w:highlight w:val="none"/>
        </w:rPr>
      </w:pPr>
    </w:p>
    <w:p w14:paraId="7F033BD9">
      <w:pPr>
        <w:rPr>
          <w:rFonts w:hint="eastAsia" w:ascii="宋体" w:hAnsi="宋体" w:cs="宋体"/>
          <w:b w:val="0"/>
          <w:bCs/>
          <w:color w:val="auto"/>
          <w:kern w:val="0"/>
          <w:sz w:val="20"/>
          <w:szCs w:val="20"/>
          <w:highlight w:val="none"/>
        </w:rPr>
      </w:pPr>
    </w:p>
    <w:p w14:paraId="7F033BDA">
      <w:pPr>
        <w:pStyle w:val="2"/>
        <w:rPr>
          <w:rFonts w:ascii="宋体" w:hAnsi="宋体" w:cs="宋体"/>
          <w:b w:val="0"/>
          <w:bCs/>
          <w:color w:val="auto"/>
          <w:highlight w:val="none"/>
        </w:rPr>
      </w:pPr>
    </w:p>
    <w:p w14:paraId="7F033BDB">
      <w:pPr>
        <w:autoSpaceDE w:val="0"/>
        <w:autoSpaceDN w:val="0"/>
        <w:adjustRightInd w:val="0"/>
        <w:snapToGrid w:val="0"/>
        <w:spacing w:line="360" w:lineRule="auto"/>
        <w:rPr>
          <w:rFonts w:hint="eastAsia" w:ascii="宋体" w:hAnsi="宋体" w:cs="宋体"/>
          <w:b w:val="0"/>
          <w:bCs/>
          <w:color w:val="auto"/>
          <w:kern w:val="0"/>
          <w:sz w:val="20"/>
          <w:szCs w:val="20"/>
          <w:highlight w:val="none"/>
        </w:rPr>
      </w:pPr>
    </w:p>
    <w:p w14:paraId="7F033BDC">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3BDD">
      <w:pPr>
        <w:autoSpaceDE w:val="0"/>
        <w:autoSpaceDN w:val="0"/>
        <w:adjustRightInd w:val="0"/>
        <w:snapToGrid w:val="0"/>
        <w:spacing w:line="360" w:lineRule="auto"/>
        <w:rPr>
          <w:rFonts w:hint="eastAsia" w:ascii="宋体" w:hAnsi="宋体" w:cs="宋体"/>
          <w:b w:val="0"/>
          <w:bCs/>
          <w:color w:val="auto"/>
          <w:kern w:val="0"/>
          <w:sz w:val="20"/>
          <w:szCs w:val="20"/>
          <w:highlight w:val="none"/>
        </w:rPr>
      </w:pPr>
    </w:p>
    <w:p w14:paraId="7F033BDE">
      <w:pPr>
        <w:autoSpaceDE w:val="0"/>
        <w:autoSpaceDN w:val="0"/>
        <w:adjustRightInd w:val="0"/>
        <w:snapToGrid w:val="0"/>
        <w:spacing w:line="360" w:lineRule="auto"/>
        <w:rPr>
          <w:rFonts w:hint="eastAsia" w:ascii="宋体" w:hAnsi="宋体" w:cs="宋体"/>
          <w:b w:val="0"/>
          <w:bCs/>
          <w:color w:val="auto"/>
          <w:kern w:val="0"/>
          <w:sz w:val="20"/>
          <w:szCs w:val="20"/>
          <w:highlight w:val="none"/>
        </w:rPr>
      </w:pPr>
    </w:p>
    <w:p w14:paraId="7F033BDF">
      <w:pPr>
        <w:autoSpaceDE w:val="0"/>
        <w:autoSpaceDN w:val="0"/>
        <w:adjustRightInd w:val="0"/>
        <w:snapToGrid w:val="0"/>
        <w:spacing w:line="360" w:lineRule="auto"/>
        <w:rPr>
          <w:rFonts w:hint="eastAsia" w:ascii="宋体" w:hAnsi="宋体" w:cs="宋体"/>
          <w:b w:val="0"/>
          <w:bCs/>
          <w:color w:val="auto"/>
          <w:kern w:val="0"/>
          <w:sz w:val="20"/>
          <w:szCs w:val="20"/>
          <w:highlight w:val="none"/>
        </w:rPr>
      </w:pPr>
    </w:p>
    <w:p w14:paraId="7F033BE0">
      <w:pPr>
        <w:tabs>
          <w:tab w:val="left" w:pos="6219"/>
        </w:tabs>
        <w:autoSpaceDE w:val="0"/>
        <w:autoSpaceDN w:val="0"/>
        <w:adjustRightInd w:val="0"/>
        <w:snapToGrid w:val="0"/>
        <w:spacing w:line="36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w w:val="99"/>
          <w:kern w:val="0"/>
          <w:sz w:val="28"/>
          <w:szCs w:val="28"/>
          <w:highlight w:val="none"/>
        </w:rPr>
        <w:t>招   标   人：</w:t>
      </w:r>
      <w:r>
        <w:rPr>
          <w:rFonts w:hint="eastAsia" w:ascii="宋体" w:hAnsi="宋体" w:cs="宋体"/>
          <w:b w:val="0"/>
          <w:bCs/>
          <w:color w:val="auto"/>
          <w:kern w:val="0"/>
          <w:sz w:val="28"/>
          <w:szCs w:val="28"/>
          <w:highlight w:val="none"/>
          <w:u w:val="single"/>
        </w:rPr>
        <w:t>重庆三航新材料技术研究院有限公司</w:t>
      </w:r>
      <w:r>
        <w:rPr>
          <w:rFonts w:hint="eastAsia" w:ascii="宋体" w:hAnsi="宋体" w:cs="宋体"/>
          <w:b w:val="0"/>
          <w:bCs/>
          <w:color w:val="auto"/>
          <w:w w:val="99"/>
          <w:kern w:val="0"/>
          <w:sz w:val="28"/>
          <w:szCs w:val="28"/>
          <w:highlight w:val="none"/>
        </w:rPr>
        <w:t>（盖单位法人章）</w:t>
      </w:r>
    </w:p>
    <w:p w14:paraId="7F033BE1">
      <w:pPr>
        <w:pStyle w:val="2"/>
        <w:rPr>
          <w:rFonts w:ascii="宋体" w:hAnsi="宋体" w:cs="宋体"/>
          <w:b w:val="0"/>
          <w:bCs/>
          <w:color w:val="auto"/>
          <w:highlight w:val="none"/>
        </w:rPr>
      </w:pPr>
    </w:p>
    <w:p w14:paraId="7F033BE2">
      <w:pPr>
        <w:tabs>
          <w:tab w:val="left" w:pos="6252"/>
        </w:tabs>
        <w:autoSpaceDE w:val="0"/>
        <w:autoSpaceDN w:val="0"/>
        <w:adjustRightInd w:val="0"/>
        <w:snapToGrid w:val="0"/>
        <w:spacing w:line="36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spacing w:val="8"/>
          <w:kern w:val="0"/>
          <w:sz w:val="28"/>
          <w:szCs w:val="28"/>
          <w:highlight w:val="none"/>
        </w:rPr>
        <w:t>招标代理机构：</w:t>
      </w:r>
      <w:r>
        <w:rPr>
          <w:rFonts w:hint="eastAsia" w:ascii="宋体" w:hAnsi="宋体" w:cs="宋体"/>
          <w:b w:val="0"/>
          <w:bCs/>
          <w:color w:val="auto"/>
          <w:kern w:val="0"/>
          <w:sz w:val="28"/>
          <w:szCs w:val="28"/>
          <w:highlight w:val="none"/>
          <w:u w:val="single"/>
        </w:rPr>
        <w:t>重庆恒泰工程造价咨询有限公司</w:t>
      </w:r>
      <w:r>
        <w:rPr>
          <w:rFonts w:hint="eastAsia" w:ascii="宋体" w:hAnsi="宋体" w:cs="宋体"/>
          <w:b w:val="0"/>
          <w:bCs/>
          <w:color w:val="auto"/>
          <w:w w:val="99"/>
          <w:kern w:val="0"/>
          <w:sz w:val="28"/>
          <w:szCs w:val="28"/>
          <w:highlight w:val="none"/>
        </w:rPr>
        <w:t>（盖单位法人章）</w:t>
      </w:r>
    </w:p>
    <w:p w14:paraId="7F033BE3">
      <w:pPr>
        <w:pStyle w:val="2"/>
        <w:rPr>
          <w:rFonts w:ascii="宋体" w:hAnsi="宋体" w:cs="宋体"/>
          <w:b w:val="0"/>
          <w:bCs/>
          <w:color w:val="auto"/>
          <w:highlight w:val="none"/>
        </w:rPr>
      </w:pPr>
    </w:p>
    <w:p w14:paraId="7F033BE4">
      <w:pPr>
        <w:tabs>
          <w:tab w:val="left" w:pos="6252"/>
        </w:tabs>
        <w:autoSpaceDE w:val="0"/>
        <w:autoSpaceDN w:val="0"/>
        <w:adjustRightInd w:val="0"/>
        <w:snapToGrid w:val="0"/>
        <w:spacing w:line="360" w:lineRule="auto"/>
        <w:jc w:val="center"/>
        <w:rPr>
          <w:rFonts w:hint="eastAsia" w:ascii="宋体" w:hAnsi="宋体" w:cs="宋体"/>
          <w:b w:val="0"/>
          <w:bCs/>
          <w:color w:val="auto"/>
          <w:spacing w:val="8"/>
          <w:kern w:val="0"/>
          <w:sz w:val="28"/>
          <w:szCs w:val="28"/>
          <w:highlight w:val="none"/>
        </w:rPr>
      </w:pPr>
      <w:bookmarkStart w:id="1" w:name="_Toc536621766"/>
      <w:bookmarkStart w:id="2" w:name="_Toc509218549"/>
      <w:bookmarkStart w:id="3" w:name="_Toc13210649"/>
      <w:bookmarkStart w:id="4" w:name="_Toc536797277"/>
      <w:bookmarkStart w:id="5" w:name="_Toc536796736"/>
      <w:r>
        <w:rPr>
          <w:rFonts w:hint="eastAsia" w:ascii="宋体" w:hAnsi="宋体" w:cs="宋体"/>
          <w:b w:val="0"/>
          <w:bCs/>
          <w:color w:val="auto"/>
          <w:spacing w:val="8"/>
          <w:kern w:val="0"/>
          <w:sz w:val="28"/>
          <w:szCs w:val="28"/>
          <w:highlight w:val="none"/>
          <w:u w:val="single"/>
        </w:rPr>
        <w:t>2026</w:t>
      </w:r>
      <w:r>
        <w:rPr>
          <w:rFonts w:hint="eastAsia" w:ascii="宋体" w:hAnsi="宋体" w:cs="宋体"/>
          <w:b w:val="0"/>
          <w:bCs/>
          <w:color w:val="auto"/>
          <w:spacing w:val="8"/>
          <w:kern w:val="0"/>
          <w:sz w:val="28"/>
          <w:szCs w:val="28"/>
          <w:highlight w:val="none"/>
        </w:rPr>
        <w:t>年</w:t>
      </w:r>
      <w:r>
        <w:rPr>
          <w:rFonts w:hint="eastAsia" w:ascii="宋体" w:hAnsi="宋体" w:cs="宋体"/>
          <w:b w:val="0"/>
          <w:bCs/>
          <w:color w:val="auto"/>
          <w:spacing w:val="8"/>
          <w:kern w:val="0"/>
          <w:sz w:val="28"/>
          <w:szCs w:val="28"/>
          <w:highlight w:val="none"/>
          <w:u w:val="single"/>
        </w:rPr>
        <w:t>0</w:t>
      </w:r>
      <w:r>
        <w:rPr>
          <w:rFonts w:hint="eastAsia" w:ascii="宋体" w:hAnsi="宋体" w:cs="宋体"/>
          <w:b w:val="0"/>
          <w:bCs/>
          <w:color w:val="auto"/>
          <w:spacing w:val="8"/>
          <w:kern w:val="0"/>
          <w:sz w:val="28"/>
          <w:szCs w:val="28"/>
          <w:highlight w:val="none"/>
          <w:u w:val="single"/>
          <w:lang w:val="en-US" w:eastAsia="zh-CN"/>
        </w:rPr>
        <w:t>8</w:t>
      </w:r>
      <w:r>
        <w:rPr>
          <w:rFonts w:hint="eastAsia" w:ascii="宋体" w:hAnsi="宋体" w:cs="宋体"/>
          <w:b w:val="0"/>
          <w:bCs/>
          <w:color w:val="auto"/>
          <w:spacing w:val="8"/>
          <w:kern w:val="0"/>
          <w:sz w:val="28"/>
          <w:szCs w:val="28"/>
          <w:highlight w:val="none"/>
        </w:rPr>
        <w:t>月</w:t>
      </w:r>
      <w:bookmarkEnd w:id="1"/>
      <w:bookmarkEnd w:id="2"/>
      <w:bookmarkEnd w:id="3"/>
      <w:bookmarkEnd w:id="4"/>
      <w:bookmarkEnd w:id="5"/>
    </w:p>
    <w:p w14:paraId="7F033BE5">
      <w:pPr>
        <w:pStyle w:val="3"/>
        <w:spacing w:line="360" w:lineRule="auto"/>
        <w:rPr>
          <w:rFonts w:hint="eastAsia" w:ascii="宋体" w:hAnsi="宋体" w:cs="宋体"/>
          <w:b w:val="0"/>
          <w:bCs/>
          <w:color w:val="auto"/>
          <w:w w:val="99"/>
          <w:kern w:val="0"/>
          <w:sz w:val="24"/>
          <w:highlight w:val="none"/>
        </w:rPr>
        <w:sectPr>
          <w:headerReference r:id="rId3" w:type="default"/>
          <w:footerReference r:id="rId4" w:type="default"/>
          <w:pgSz w:w="11907" w:h="16840"/>
          <w:pgMar w:top="1304" w:right="1134" w:bottom="1304" w:left="1304" w:header="851" w:footer="992" w:gutter="0"/>
          <w:pgNumType w:start="1"/>
          <w:cols w:space="720" w:num="1"/>
          <w:docGrid w:linePitch="312" w:charSpace="0"/>
        </w:sectPr>
      </w:pPr>
    </w:p>
    <w:p w14:paraId="7F033BE6">
      <w:pPr>
        <w:jc w:val="center"/>
        <w:rPr>
          <w:rFonts w:hint="eastAsia" w:ascii="宋体" w:hAnsi="宋体" w:cs="宋体"/>
          <w:b w:val="0"/>
          <w:bCs/>
          <w:color w:val="auto"/>
          <w:sz w:val="44"/>
          <w:szCs w:val="44"/>
          <w:highlight w:val="none"/>
        </w:rPr>
      </w:pPr>
      <w:bookmarkStart w:id="6" w:name="_Toc23843"/>
      <w:r>
        <w:rPr>
          <w:rFonts w:hint="eastAsia" w:ascii="宋体" w:hAnsi="宋体" w:cs="宋体"/>
          <w:b w:val="0"/>
          <w:bCs/>
          <w:color w:val="auto"/>
          <w:sz w:val="44"/>
          <w:szCs w:val="44"/>
          <w:highlight w:val="none"/>
          <w:lang w:val="zh-CN"/>
        </w:rPr>
        <w:t>目 录</w:t>
      </w:r>
      <w:bookmarkEnd w:id="6"/>
    </w:p>
    <w:p w14:paraId="44D4AB0F">
      <w:pPr>
        <w:pStyle w:val="31"/>
        <w:tabs>
          <w:tab w:val="right" w:leader="dot" w:pos="9469"/>
        </w:tabs>
        <w:rPr>
          <w:b w:val="0"/>
          <w:bCs/>
          <w:i w:val="0"/>
          <w:iCs w:val="0"/>
          <w:color w:val="auto"/>
          <w:highlight w:val="none"/>
        </w:rPr>
      </w:pPr>
      <w:r>
        <w:rPr>
          <w:rFonts w:hint="eastAsia" w:ascii="宋体" w:hAnsi="宋体" w:cs="宋体"/>
          <w:b w:val="0"/>
          <w:bCs/>
          <w:i w:val="0"/>
          <w:iCs w:val="0"/>
          <w:color w:val="auto"/>
          <w:highlight w:val="none"/>
        </w:rPr>
        <w:fldChar w:fldCharType="begin"/>
      </w:r>
      <w:r>
        <w:rPr>
          <w:rFonts w:hint="eastAsia" w:ascii="宋体" w:hAnsi="宋体" w:cs="宋体"/>
          <w:b w:val="0"/>
          <w:bCs/>
          <w:i w:val="0"/>
          <w:iCs w:val="0"/>
          <w:color w:val="auto"/>
          <w:highlight w:val="none"/>
        </w:rPr>
        <w:instrText xml:space="preserve"> TOC \o "1-3" \h \z \u </w:instrText>
      </w:r>
      <w:r>
        <w:rPr>
          <w:rFonts w:hint="eastAsia" w:ascii="宋体" w:hAnsi="宋体" w:cs="宋体"/>
          <w:b w:val="0"/>
          <w:bCs/>
          <w:i w:val="0"/>
          <w:iCs w:val="0"/>
          <w:color w:val="auto"/>
          <w:highlight w:val="none"/>
        </w:rPr>
        <w:fldChar w:fldCharType="separate"/>
      </w:r>
      <w:r>
        <w:rPr>
          <w:rFonts w:hint="eastAsia" w:ascii="宋体" w:hAnsi="宋体" w:cs="宋体"/>
          <w:b w:val="0"/>
          <w:bCs/>
          <w:i w:val="0"/>
          <w:iCs w:val="0"/>
          <w:color w:val="auto"/>
          <w:highlight w:val="none"/>
        </w:rPr>
        <w:fldChar w:fldCharType="begin"/>
      </w:r>
      <w:r>
        <w:rPr>
          <w:rFonts w:hint="eastAsia" w:ascii="宋体" w:hAnsi="宋体" w:cs="宋体"/>
          <w:b w:val="0"/>
          <w:bCs/>
          <w:i w:val="0"/>
          <w:iCs w:val="0"/>
          <w:color w:val="auto"/>
          <w:highlight w:val="none"/>
        </w:rPr>
        <w:instrText xml:space="preserve"> HYPERLINK \l _Toc32158 </w:instrText>
      </w:r>
      <w:r>
        <w:rPr>
          <w:rFonts w:hint="eastAsia" w:ascii="宋体" w:hAnsi="宋体" w:cs="宋体"/>
          <w:b w:val="0"/>
          <w:bCs/>
          <w:i w:val="0"/>
          <w:iCs w:val="0"/>
          <w:color w:val="auto"/>
          <w:highlight w:val="none"/>
        </w:rPr>
        <w:fldChar w:fldCharType="separate"/>
      </w:r>
      <w:r>
        <w:rPr>
          <w:rFonts w:hint="eastAsia" w:ascii="宋体" w:hAnsi="宋体" w:cs="宋体"/>
          <w:b w:val="0"/>
          <w:bCs/>
          <w:i w:val="0"/>
          <w:iCs w:val="0"/>
          <w:color w:val="auto"/>
          <w:szCs w:val="52"/>
          <w:highlight w:val="none"/>
        </w:rPr>
        <w:t>第 一 卷</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_Toc32158 \h </w:instrText>
      </w:r>
      <w:r>
        <w:rPr>
          <w:b w:val="0"/>
          <w:bCs/>
          <w:i w:val="0"/>
          <w:iCs w:val="0"/>
          <w:color w:val="auto"/>
          <w:highlight w:val="none"/>
        </w:rPr>
        <w:fldChar w:fldCharType="separate"/>
      </w:r>
      <w:r>
        <w:rPr>
          <w:b w:val="0"/>
          <w:bCs/>
          <w:i w:val="0"/>
          <w:iCs w:val="0"/>
          <w:color w:val="auto"/>
          <w:highlight w:val="none"/>
        </w:rPr>
        <w:t>5</w:t>
      </w:r>
      <w:r>
        <w:rPr>
          <w:b w:val="0"/>
          <w:bCs/>
          <w:i w:val="0"/>
          <w:iCs w:val="0"/>
          <w:color w:val="auto"/>
          <w:highlight w:val="none"/>
        </w:rPr>
        <w:fldChar w:fldCharType="end"/>
      </w:r>
      <w:r>
        <w:rPr>
          <w:rFonts w:hint="eastAsia" w:ascii="宋体" w:hAnsi="宋体" w:cs="宋体"/>
          <w:b w:val="0"/>
          <w:bCs/>
          <w:i w:val="0"/>
          <w:iCs w:val="0"/>
          <w:color w:val="auto"/>
          <w:highlight w:val="none"/>
        </w:rPr>
        <w:fldChar w:fldCharType="end"/>
      </w:r>
    </w:p>
    <w:p w14:paraId="7A25E5EA">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_Toc22926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kern w:val="0"/>
          <w:highlight w:val="none"/>
        </w:rPr>
        <w:t>第一章  招标公告</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_Toc22926 \h </w:instrText>
      </w:r>
      <w:r>
        <w:rPr>
          <w:b w:val="0"/>
          <w:bCs/>
          <w:i w:val="0"/>
          <w:iCs w:val="0"/>
          <w:color w:val="auto"/>
          <w:highlight w:val="none"/>
        </w:rPr>
        <w:fldChar w:fldCharType="separate"/>
      </w:r>
      <w:r>
        <w:rPr>
          <w:b w:val="0"/>
          <w:bCs/>
          <w:i w:val="0"/>
          <w:iCs w:val="0"/>
          <w:color w:val="auto"/>
          <w:highlight w:val="none"/>
        </w:rPr>
        <w:t>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758BC85">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_Toc1012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1.  招标条件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_Toc1012 \h </w:instrText>
      </w:r>
      <w:r>
        <w:rPr>
          <w:b w:val="0"/>
          <w:bCs/>
          <w:i w:val="0"/>
          <w:iCs w:val="0"/>
          <w:color w:val="auto"/>
          <w:highlight w:val="none"/>
        </w:rPr>
        <w:fldChar w:fldCharType="separate"/>
      </w:r>
      <w:r>
        <w:rPr>
          <w:b w:val="0"/>
          <w:bCs/>
          <w:i w:val="0"/>
          <w:iCs w:val="0"/>
          <w:color w:val="auto"/>
          <w:highlight w:val="none"/>
        </w:rPr>
        <w:t>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989CCD7">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_Toc20755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2.  项目概况与招标范围</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_Toc20755 \h </w:instrText>
      </w:r>
      <w:r>
        <w:rPr>
          <w:b w:val="0"/>
          <w:bCs/>
          <w:i w:val="0"/>
          <w:iCs w:val="0"/>
          <w:color w:val="auto"/>
          <w:highlight w:val="none"/>
        </w:rPr>
        <w:fldChar w:fldCharType="separate"/>
      </w:r>
      <w:r>
        <w:rPr>
          <w:b w:val="0"/>
          <w:bCs/>
          <w:i w:val="0"/>
          <w:iCs w:val="0"/>
          <w:color w:val="auto"/>
          <w:highlight w:val="none"/>
        </w:rPr>
        <w:t>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B01970C">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_Toc12274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3.  投标人资格要求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_Toc12274 \h </w:instrText>
      </w:r>
      <w:r>
        <w:rPr>
          <w:b w:val="0"/>
          <w:bCs/>
          <w:i w:val="0"/>
          <w:iCs w:val="0"/>
          <w:color w:val="auto"/>
          <w:highlight w:val="none"/>
        </w:rPr>
        <w:fldChar w:fldCharType="separate"/>
      </w:r>
      <w:r>
        <w:rPr>
          <w:b w:val="0"/>
          <w:bCs/>
          <w:i w:val="0"/>
          <w:iCs w:val="0"/>
          <w:color w:val="auto"/>
          <w:highlight w:val="none"/>
        </w:rPr>
        <w:t>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005777D">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_Toc32527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4.  招标文件的获取</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_Toc32527 \h </w:instrText>
      </w:r>
      <w:r>
        <w:rPr>
          <w:b w:val="0"/>
          <w:bCs/>
          <w:i w:val="0"/>
          <w:iCs w:val="0"/>
          <w:color w:val="auto"/>
          <w:highlight w:val="none"/>
        </w:rPr>
        <w:fldChar w:fldCharType="separate"/>
      </w:r>
      <w:r>
        <w:rPr>
          <w:b w:val="0"/>
          <w:bCs/>
          <w:i w:val="0"/>
          <w:iCs w:val="0"/>
          <w:color w:val="auto"/>
          <w:highlight w:val="none"/>
        </w:rPr>
        <w:t>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641D390">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_Toc21308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5.  投标文件的递交</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_Toc21308 \h </w:instrText>
      </w:r>
      <w:r>
        <w:rPr>
          <w:b w:val="0"/>
          <w:bCs/>
          <w:i w:val="0"/>
          <w:iCs w:val="0"/>
          <w:color w:val="auto"/>
          <w:highlight w:val="none"/>
        </w:rPr>
        <w:fldChar w:fldCharType="separate"/>
      </w:r>
      <w:r>
        <w:rPr>
          <w:b w:val="0"/>
          <w:bCs/>
          <w:i w:val="0"/>
          <w:iCs w:val="0"/>
          <w:color w:val="auto"/>
          <w:highlight w:val="none"/>
        </w:rPr>
        <w:t>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E46E8EB">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_Toc17432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6.  发布公告的媒介</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_Toc17432 \h </w:instrText>
      </w:r>
      <w:r>
        <w:rPr>
          <w:b w:val="0"/>
          <w:bCs/>
          <w:i w:val="0"/>
          <w:iCs w:val="0"/>
          <w:color w:val="auto"/>
          <w:highlight w:val="none"/>
        </w:rPr>
        <w:fldChar w:fldCharType="separate"/>
      </w:r>
      <w:r>
        <w:rPr>
          <w:b w:val="0"/>
          <w:bCs/>
          <w:i w:val="0"/>
          <w:iCs w:val="0"/>
          <w:color w:val="auto"/>
          <w:highlight w:val="none"/>
        </w:rPr>
        <w:t>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99FEC9A">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_Toc21382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8"/>
          <w:highlight w:val="none"/>
        </w:rPr>
        <w:t>7.  联系方式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_Toc21382 \h </w:instrText>
      </w:r>
      <w:r>
        <w:rPr>
          <w:b w:val="0"/>
          <w:bCs/>
          <w:i w:val="0"/>
          <w:iCs w:val="0"/>
          <w:color w:val="auto"/>
          <w:highlight w:val="none"/>
        </w:rPr>
        <w:fldChar w:fldCharType="separate"/>
      </w:r>
      <w:r>
        <w:rPr>
          <w:b w:val="0"/>
          <w:bCs/>
          <w:i w:val="0"/>
          <w:iCs w:val="0"/>
          <w:color w:val="auto"/>
          <w:highlight w:val="none"/>
        </w:rPr>
        <w:t>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FCA9183">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_Toc16552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kern w:val="0"/>
          <w:highlight w:val="none"/>
        </w:rPr>
        <w:t>第二章  投标人须知</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_Toc16552 \h </w:instrText>
      </w:r>
      <w:r>
        <w:rPr>
          <w:b w:val="0"/>
          <w:bCs/>
          <w:i w:val="0"/>
          <w:iCs w:val="0"/>
          <w:color w:val="auto"/>
          <w:highlight w:val="none"/>
        </w:rPr>
        <w:fldChar w:fldCharType="separate"/>
      </w:r>
      <w:r>
        <w:rPr>
          <w:b w:val="0"/>
          <w:bCs/>
          <w:i w:val="0"/>
          <w:iCs w:val="0"/>
          <w:color w:val="auto"/>
          <w:highlight w:val="none"/>
        </w:rPr>
        <w:t>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B9D76F6">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_Toc19773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1.  总则</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_Toc19773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C4DE5E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_Toc13529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1.1  招标项目概况</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_Toc13529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0748A3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_Toc31918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1.2  招标项目的资金来源和落实情况</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_Toc31918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4B01C8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_Toc19427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1.3  招标范围、交货期、交货地点和技术性能指标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_Toc19427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832FED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_Toc16916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1.4  投标人资格要求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_Toc16916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F2DDE4D">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_Toc27713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1.4  投标人资格要求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_Toc27713 \h </w:instrText>
      </w:r>
      <w:r>
        <w:rPr>
          <w:b w:val="0"/>
          <w:bCs/>
          <w:i w:val="0"/>
          <w:iCs w:val="0"/>
          <w:color w:val="auto"/>
          <w:highlight w:val="none"/>
        </w:rPr>
        <w:fldChar w:fldCharType="separate"/>
      </w:r>
      <w:r>
        <w:rPr>
          <w:b w:val="0"/>
          <w:bCs/>
          <w:i w:val="0"/>
          <w:iCs w:val="0"/>
          <w:color w:val="auto"/>
          <w:highlight w:val="none"/>
        </w:rPr>
        <w:t>23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56C7FD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_Toc24300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1.5  费用承担</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_Toc24300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BC4463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_Toc11525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1.6  保密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_Toc11525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64FAEE1">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_Toc9058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1.7  语言文字</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_Toc9058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BD9F0B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_Toc25987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1.8  计量单位</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_Toc25987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2AA876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_Toc6631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1.9  投标预备会</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_Toc6631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8BEA35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_Toc3345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1.10  分包</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_Toc3345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BE2CF4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_Toc16511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1.11  响应和偏差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_Toc16511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E8D0A8F">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_Toc1441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2.  招标文件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_Toc1441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4A98C0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_Toc17767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2.1  招标文件的组成</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_Toc17767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1F9632D">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_Toc4167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2.2  招标文件的澄清</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_Toc4167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1287BD0">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_Toc10752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2.3  招标文件的修改</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_Toc10752 \h </w:instrText>
      </w:r>
      <w:r>
        <w:rPr>
          <w:b w:val="0"/>
          <w:bCs/>
          <w:i w:val="0"/>
          <w:iCs w:val="0"/>
          <w:color w:val="auto"/>
          <w:highlight w:val="none"/>
        </w:rPr>
        <w:fldChar w:fldCharType="separate"/>
      </w:r>
      <w:r>
        <w:rPr>
          <w:b w:val="0"/>
          <w:bCs/>
          <w:i w:val="0"/>
          <w:iCs w:val="0"/>
          <w:color w:val="auto"/>
          <w:highlight w:val="none"/>
        </w:rPr>
        <w:t>26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4D3D0A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_Toc25331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2.4  招标文件的异议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_Toc25331 \h </w:instrText>
      </w:r>
      <w:r>
        <w:rPr>
          <w:b w:val="0"/>
          <w:bCs/>
          <w:i w:val="0"/>
          <w:iCs w:val="0"/>
          <w:color w:val="auto"/>
          <w:highlight w:val="none"/>
        </w:rPr>
        <w:fldChar w:fldCharType="separate"/>
      </w:r>
      <w:r>
        <w:rPr>
          <w:b w:val="0"/>
          <w:bCs/>
          <w:i w:val="0"/>
          <w:iCs w:val="0"/>
          <w:color w:val="auto"/>
          <w:highlight w:val="none"/>
        </w:rPr>
        <w:t>26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ACF985B">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_Toc1586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3.  投标文件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_Toc1586 \h </w:instrText>
      </w:r>
      <w:r>
        <w:rPr>
          <w:b w:val="0"/>
          <w:bCs/>
          <w:i w:val="0"/>
          <w:iCs w:val="0"/>
          <w:color w:val="auto"/>
          <w:highlight w:val="none"/>
        </w:rPr>
        <w:fldChar w:fldCharType="separate"/>
      </w:r>
      <w:r>
        <w:rPr>
          <w:b w:val="0"/>
          <w:bCs/>
          <w:i w:val="0"/>
          <w:iCs w:val="0"/>
          <w:color w:val="auto"/>
          <w:highlight w:val="none"/>
        </w:rPr>
        <w:t>26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51784E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_Toc20701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3.1  投标文件的组成</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_Toc20701 \h </w:instrText>
      </w:r>
      <w:r>
        <w:rPr>
          <w:b w:val="0"/>
          <w:bCs/>
          <w:i w:val="0"/>
          <w:iCs w:val="0"/>
          <w:color w:val="auto"/>
          <w:highlight w:val="none"/>
        </w:rPr>
        <w:fldChar w:fldCharType="separate"/>
      </w:r>
      <w:r>
        <w:rPr>
          <w:b w:val="0"/>
          <w:bCs/>
          <w:i w:val="0"/>
          <w:iCs w:val="0"/>
          <w:color w:val="auto"/>
          <w:highlight w:val="none"/>
        </w:rPr>
        <w:t>26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6A1904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_Toc14228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3.2  投标报价</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_Toc14228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582C69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_Toc17273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3.3  投标有效期</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_Toc17273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FAB3C9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_Toc25371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3.4  投标保证金</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_Toc25371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0B5673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_Toc28658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3.5  资格审查资料</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_Toc28658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25AADF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_Toc9516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3.6  备选投标方案</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_Toc9516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D751F8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_Toc21872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3.7  投标文件的编制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_Toc21872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48B17D1">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_Toc27451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4.  投标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_Toc27451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1F620B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_Toc12995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4.1  投标文件的密封和标记</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_Toc12995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5C69FC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_Toc2911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4.2  投标文件的递交</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_Toc2911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C2DB65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_Toc22051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4.3  投标文件的修改与撤回</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_Toc22051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BA19380">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_Toc4479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5.  开标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_Toc4479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71E32C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5.1  开标时间和地点</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_Toc33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63366D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_Toc14092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5.2  开标程序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_Toc14092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508737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_Toc6916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5.3  开标异议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_Toc6916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6030A51">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_Toc24931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6.  评标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_Toc24931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51B658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_Toc21027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6.1  评标委员会</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_Toc21027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4A5CE7D">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_Toc9281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6.2  评标原则</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_Toc9281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910385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_Toc12539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6.3  评标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_Toc12539 \h </w:instrText>
      </w:r>
      <w:r>
        <w:rPr>
          <w:b w:val="0"/>
          <w:bCs/>
          <w:i w:val="0"/>
          <w:iCs w:val="0"/>
          <w:color w:val="auto"/>
          <w:highlight w:val="none"/>
        </w:rPr>
        <w:fldChar w:fldCharType="separate"/>
      </w:r>
      <w:r>
        <w:rPr>
          <w:b w:val="0"/>
          <w:bCs/>
          <w:i w:val="0"/>
          <w:iCs w:val="0"/>
          <w:color w:val="auto"/>
          <w:highlight w:val="none"/>
        </w:rPr>
        <w:t>29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B34D4D5">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_Toc28924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7.  合同授予</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_Toc28924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FF638A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_Toc28696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7.1  中标候选人公示</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_Toc28696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EC132E7">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_Toc8283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7.2  评标结果异议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_Toc8283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E6C0FDE">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_Toc1534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7.3  中标候选人履约能力审查</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_Toc1534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01CD250">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_Toc13372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7.4  定标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_Toc13372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ED9AAC1">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_Toc1215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7.5  中标通知</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_Toc1215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F58DA4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_Toc22383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7.6  履约保证金</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_Toc22383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B9122D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_Toc20706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7.7  签订合同</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_Toc20706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6ACC429">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_Toc5490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8.  重新招标和不再招标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_Toc5490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33FC5B7">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_Toc25787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8.1  重新招标的情形</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_Toc25787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C5276D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_Toc20713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8.2  重新招标和不再招标</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_Toc20713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425C65E">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_Toc11121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9.  纪律和监督</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_Toc11121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1461FF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_Toc30480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9.1  对招标人的纪律要求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_Toc30480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FD48EC3">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_Toc6465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9.2  对投标人的纪律要求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_Toc6465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C08B32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_Toc8051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9.3  对评标委员会成员的纪律要求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_Toc8051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6AA3F4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_Toc4796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9.4  对与评标活动有关的工作人员的纪律要求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_Toc4796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810BE5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_Toc689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9.5  投诉</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_Toc689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DA47D5B">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_Toc788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10. 需要补充的其他内容</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_Toc788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F6471E2">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_Toc18457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第三章  评标办法（综合评估法）</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_Toc18457 \h </w:instrText>
      </w:r>
      <w:r>
        <w:rPr>
          <w:b w:val="0"/>
          <w:bCs/>
          <w:i w:val="0"/>
          <w:iCs w:val="0"/>
          <w:color w:val="auto"/>
          <w:highlight w:val="none"/>
        </w:rPr>
        <w:fldChar w:fldCharType="separate"/>
      </w:r>
      <w:r>
        <w:rPr>
          <w:b w:val="0"/>
          <w:bCs/>
          <w:i w:val="0"/>
          <w:iCs w:val="0"/>
          <w:color w:val="auto"/>
          <w:highlight w:val="none"/>
        </w:rPr>
        <w:t>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19FDBBA">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_Toc26970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1.  评标方法</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_Toc26970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FC4CFC2">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_Toc10675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2.  评审标准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_Toc10675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4CBD7E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_Toc9386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2.1  初步评审标准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_Toc9386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81F9696">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_Toc6642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2.2  分值构成与评审标准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_Toc6642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80F16CE">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_Toc30976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highlight w:val="none"/>
        </w:rPr>
        <w:t>3.  评标程序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_Toc30976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6581B0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_Toc2768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3.1  初步评审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_Toc2768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4FCB54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_Toc17761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3.2  详细评审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_Toc17761 \h </w:instrText>
      </w:r>
      <w:r>
        <w:rPr>
          <w:b w:val="0"/>
          <w:bCs/>
          <w:i w:val="0"/>
          <w:iCs w:val="0"/>
          <w:color w:val="auto"/>
          <w:highlight w:val="none"/>
        </w:rPr>
        <w:fldChar w:fldCharType="separate"/>
      </w:r>
      <w:r>
        <w:rPr>
          <w:b w:val="0"/>
          <w:bCs/>
          <w:i w:val="0"/>
          <w:iCs w:val="0"/>
          <w:color w:val="auto"/>
          <w:highlight w:val="none"/>
        </w:rPr>
        <w:t>10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350658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_Toc3806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3.3  投标文件的澄清</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_Toc3806 \h </w:instrText>
      </w:r>
      <w:r>
        <w:rPr>
          <w:b w:val="0"/>
          <w:bCs/>
          <w:i w:val="0"/>
          <w:iCs w:val="0"/>
          <w:color w:val="auto"/>
          <w:highlight w:val="none"/>
        </w:rPr>
        <w:fldChar w:fldCharType="separate"/>
      </w:r>
      <w:r>
        <w:rPr>
          <w:b w:val="0"/>
          <w:bCs/>
          <w:i w:val="0"/>
          <w:iCs w:val="0"/>
          <w:color w:val="auto"/>
          <w:highlight w:val="none"/>
        </w:rPr>
        <w:t>11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B36A00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_Toc11083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snapToGrid w:val="0"/>
          <w:color w:val="auto"/>
          <w:szCs w:val="24"/>
          <w:highlight w:val="none"/>
        </w:rPr>
        <w:t>3.4  评标结果</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_Toc11083 \h </w:instrText>
      </w:r>
      <w:r>
        <w:rPr>
          <w:b w:val="0"/>
          <w:bCs/>
          <w:i w:val="0"/>
          <w:iCs w:val="0"/>
          <w:color w:val="auto"/>
          <w:highlight w:val="none"/>
        </w:rPr>
        <w:fldChar w:fldCharType="separate"/>
      </w:r>
      <w:r>
        <w:rPr>
          <w:b w:val="0"/>
          <w:bCs/>
          <w:i w:val="0"/>
          <w:iCs w:val="0"/>
          <w:color w:val="auto"/>
          <w:highlight w:val="none"/>
        </w:rPr>
        <w:t>11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879A870">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_Toc32261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kern w:val="0"/>
          <w:highlight w:val="none"/>
        </w:rPr>
        <w:t>第四章  合同条款及格式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_Toc32261 \h </w:instrText>
      </w:r>
      <w:r>
        <w:rPr>
          <w:b w:val="0"/>
          <w:bCs/>
          <w:i w:val="0"/>
          <w:iCs w:val="0"/>
          <w:color w:val="auto"/>
          <w:highlight w:val="none"/>
        </w:rPr>
        <w:fldChar w:fldCharType="separate"/>
      </w:r>
      <w:r>
        <w:rPr>
          <w:b w:val="0"/>
          <w:bCs/>
          <w:i w:val="0"/>
          <w:iCs w:val="0"/>
          <w:color w:val="auto"/>
          <w:highlight w:val="none"/>
        </w:rPr>
        <w:t>14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520DB05">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_Toc5572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kern w:val="0"/>
          <w:szCs w:val="28"/>
          <w:highlight w:val="none"/>
        </w:rPr>
        <w:t>第一节 通用合同条款</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_Toc5572 \h </w:instrText>
      </w:r>
      <w:r>
        <w:rPr>
          <w:b w:val="0"/>
          <w:bCs/>
          <w:i w:val="0"/>
          <w:iCs w:val="0"/>
          <w:color w:val="auto"/>
          <w:highlight w:val="none"/>
        </w:rPr>
        <w:fldChar w:fldCharType="separate"/>
      </w:r>
      <w:r>
        <w:rPr>
          <w:b w:val="0"/>
          <w:bCs/>
          <w:i w:val="0"/>
          <w:iCs w:val="0"/>
          <w:color w:val="auto"/>
          <w:highlight w:val="none"/>
        </w:rPr>
        <w:t>15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BB24366">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_Toc18161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1.一般约定</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_Toc18161 \h </w:instrText>
      </w:r>
      <w:r>
        <w:rPr>
          <w:b w:val="0"/>
          <w:bCs/>
          <w:i w:val="0"/>
          <w:iCs w:val="0"/>
          <w:color w:val="auto"/>
          <w:highlight w:val="none"/>
        </w:rPr>
        <w:fldChar w:fldCharType="separate"/>
      </w:r>
      <w:r>
        <w:rPr>
          <w:b w:val="0"/>
          <w:bCs/>
          <w:i w:val="0"/>
          <w:iCs w:val="0"/>
          <w:color w:val="auto"/>
          <w:highlight w:val="none"/>
        </w:rPr>
        <w:t>15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60AAFF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_Toc4506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2.合同范围</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_Toc4506 \h </w:instrText>
      </w:r>
      <w:r>
        <w:rPr>
          <w:b w:val="0"/>
          <w:bCs/>
          <w:i w:val="0"/>
          <w:iCs w:val="0"/>
          <w:color w:val="auto"/>
          <w:highlight w:val="none"/>
        </w:rPr>
        <w:fldChar w:fldCharType="separate"/>
      </w:r>
      <w:r>
        <w:rPr>
          <w:b w:val="0"/>
          <w:bCs/>
          <w:i w:val="0"/>
          <w:iCs w:val="0"/>
          <w:color w:val="auto"/>
          <w:highlight w:val="none"/>
        </w:rPr>
        <w:t>18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3FF962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_Toc195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3.合同价格与支付</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_Toc195 \h </w:instrText>
      </w:r>
      <w:r>
        <w:rPr>
          <w:b w:val="0"/>
          <w:bCs/>
          <w:i w:val="0"/>
          <w:iCs w:val="0"/>
          <w:color w:val="auto"/>
          <w:highlight w:val="none"/>
        </w:rPr>
        <w:fldChar w:fldCharType="separate"/>
      </w:r>
      <w:r>
        <w:rPr>
          <w:b w:val="0"/>
          <w:bCs/>
          <w:i w:val="0"/>
          <w:iCs w:val="0"/>
          <w:color w:val="auto"/>
          <w:highlight w:val="none"/>
        </w:rPr>
        <w:t>18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D654E0E">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_Toc18637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4.监造及交货前检验</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_Toc18637 \h </w:instrText>
      </w:r>
      <w:r>
        <w:rPr>
          <w:b w:val="0"/>
          <w:bCs/>
          <w:i w:val="0"/>
          <w:iCs w:val="0"/>
          <w:color w:val="auto"/>
          <w:highlight w:val="none"/>
        </w:rPr>
        <w:fldChar w:fldCharType="separate"/>
      </w:r>
      <w:r>
        <w:rPr>
          <w:b w:val="0"/>
          <w:bCs/>
          <w:i w:val="0"/>
          <w:iCs w:val="0"/>
          <w:color w:val="auto"/>
          <w:highlight w:val="none"/>
        </w:rPr>
        <w:t>19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5B5979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_Toc26450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5.包装、标记、运输和交付</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_Toc26450 \h </w:instrText>
      </w:r>
      <w:r>
        <w:rPr>
          <w:b w:val="0"/>
          <w:bCs/>
          <w:i w:val="0"/>
          <w:iCs w:val="0"/>
          <w:color w:val="auto"/>
          <w:highlight w:val="none"/>
        </w:rPr>
        <w:fldChar w:fldCharType="separate"/>
      </w:r>
      <w:r>
        <w:rPr>
          <w:b w:val="0"/>
          <w:bCs/>
          <w:i w:val="0"/>
          <w:iCs w:val="0"/>
          <w:color w:val="auto"/>
          <w:highlight w:val="none"/>
        </w:rPr>
        <w:t>20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157ECF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_Toc16967 </w:instrText>
      </w:r>
      <w:r>
        <w:rPr>
          <w:rFonts w:hint="eastAsia" w:ascii="宋体" w:hAnsi="宋体" w:cs="宋体"/>
          <w:b w:val="0"/>
          <w:bCs/>
          <w:i w:val="0"/>
          <w:iCs w:val="0"/>
          <w:color w:val="auto"/>
          <w:szCs w:val="20"/>
          <w:highlight w:val="none"/>
          <w:lang w:val="zh-CN"/>
        </w:rPr>
        <w:fldChar w:fldCharType="separate"/>
      </w:r>
      <w:r>
        <w:rPr>
          <w:rFonts w:ascii="宋体" w:hAnsi="宋体" w:eastAsia="宋体"/>
          <w:b w:val="0"/>
          <w:bCs/>
          <w:i w:val="0"/>
          <w:iCs w:val="0"/>
          <w:color w:val="auto"/>
          <w:szCs w:val="32"/>
          <w:highlight w:val="none"/>
        </w:rPr>
        <w:t>6.</w:t>
      </w:r>
      <w:r>
        <w:rPr>
          <w:rFonts w:hint="eastAsia" w:ascii="宋体" w:hAnsi="宋体" w:eastAsia="宋体"/>
          <w:b w:val="0"/>
          <w:bCs/>
          <w:i w:val="0"/>
          <w:iCs w:val="0"/>
          <w:color w:val="auto"/>
          <w:szCs w:val="32"/>
          <w:highlight w:val="none"/>
        </w:rPr>
        <w:t>开箱检验、安装、调试、考核、验收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_Toc16967 \h </w:instrText>
      </w:r>
      <w:r>
        <w:rPr>
          <w:b w:val="0"/>
          <w:bCs/>
          <w:i w:val="0"/>
          <w:iCs w:val="0"/>
          <w:color w:val="auto"/>
          <w:highlight w:val="none"/>
        </w:rPr>
        <w:fldChar w:fldCharType="separate"/>
      </w:r>
      <w:r>
        <w:rPr>
          <w:b w:val="0"/>
          <w:bCs/>
          <w:i w:val="0"/>
          <w:iCs w:val="0"/>
          <w:color w:val="auto"/>
          <w:highlight w:val="none"/>
        </w:rPr>
        <w:t>21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B62C9C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_Toc32395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7.技术服务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_Toc32395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4BE934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_Toc20552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8.质量保证期</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_Toc20552 \h </w:instrText>
      </w:r>
      <w:r>
        <w:rPr>
          <w:b w:val="0"/>
          <w:bCs/>
          <w:i w:val="0"/>
          <w:iCs w:val="0"/>
          <w:color w:val="auto"/>
          <w:highlight w:val="none"/>
        </w:rPr>
        <w:fldChar w:fldCharType="separate"/>
      </w:r>
      <w:r>
        <w:rPr>
          <w:b w:val="0"/>
          <w:bCs/>
          <w:i w:val="0"/>
          <w:iCs w:val="0"/>
          <w:color w:val="auto"/>
          <w:highlight w:val="none"/>
        </w:rPr>
        <w:t>24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A198991">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_Toc15785 </w:instrText>
      </w:r>
      <w:r>
        <w:rPr>
          <w:rFonts w:hint="eastAsia" w:ascii="宋体" w:hAnsi="宋体" w:cs="宋体"/>
          <w:b w:val="0"/>
          <w:bCs/>
          <w:i w:val="0"/>
          <w:iCs w:val="0"/>
          <w:color w:val="auto"/>
          <w:szCs w:val="20"/>
          <w:highlight w:val="none"/>
          <w:lang w:val="zh-CN"/>
        </w:rPr>
        <w:fldChar w:fldCharType="separate"/>
      </w:r>
      <w:r>
        <w:rPr>
          <w:rFonts w:ascii="宋体" w:hAnsi="宋体" w:eastAsia="宋体"/>
          <w:b w:val="0"/>
          <w:bCs/>
          <w:i w:val="0"/>
          <w:iCs w:val="0"/>
          <w:color w:val="auto"/>
          <w:szCs w:val="32"/>
          <w:highlight w:val="none"/>
        </w:rPr>
        <w:t>9.</w:t>
      </w:r>
      <w:r>
        <w:rPr>
          <w:rFonts w:hint="eastAsia" w:ascii="宋体" w:hAnsi="宋体" w:eastAsia="宋体"/>
          <w:b w:val="0"/>
          <w:bCs/>
          <w:i w:val="0"/>
          <w:iCs w:val="0"/>
          <w:color w:val="auto"/>
          <w:szCs w:val="32"/>
          <w:highlight w:val="none"/>
        </w:rPr>
        <w:t>质量保证期服务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_Toc15785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ABFFE7A">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_Toc11052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10.履约保证金</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_Toc11052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DCCF267">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_Toc26976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11.保证</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_Toc26976 \h </w:instrText>
      </w:r>
      <w:r>
        <w:rPr>
          <w:b w:val="0"/>
          <w:bCs/>
          <w:i w:val="0"/>
          <w:iCs w:val="0"/>
          <w:color w:val="auto"/>
          <w:highlight w:val="none"/>
        </w:rPr>
        <w:fldChar w:fldCharType="separate"/>
      </w:r>
      <w:r>
        <w:rPr>
          <w:b w:val="0"/>
          <w:bCs/>
          <w:i w:val="0"/>
          <w:iCs w:val="0"/>
          <w:color w:val="auto"/>
          <w:highlight w:val="none"/>
        </w:rPr>
        <w:t>25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49BF347">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_Toc25468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12.知识产权</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_Toc25468 \h </w:instrText>
      </w:r>
      <w:r>
        <w:rPr>
          <w:b w:val="0"/>
          <w:bCs/>
          <w:i w:val="0"/>
          <w:iCs w:val="0"/>
          <w:color w:val="auto"/>
          <w:highlight w:val="none"/>
        </w:rPr>
        <w:fldChar w:fldCharType="separate"/>
      </w:r>
      <w:r>
        <w:rPr>
          <w:b w:val="0"/>
          <w:bCs/>
          <w:i w:val="0"/>
          <w:iCs w:val="0"/>
          <w:color w:val="auto"/>
          <w:highlight w:val="none"/>
        </w:rPr>
        <w:t>26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32C805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_Toc15409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13.保密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_Toc15409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9F8427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_Toc28006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14.违约责任</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_Toc28006 \h </w:instrText>
      </w:r>
      <w:r>
        <w:rPr>
          <w:b w:val="0"/>
          <w:bCs/>
          <w:i w:val="0"/>
          <w:iCs w:val="0"/>
          <w:color w:val="auto"/>
          <w:highlight w:val="none"/>
        </w:rPr>
        <w:fldChar w:fldCharType="separate"/>
      </w:r>
      <w:r>
        <w:rPr>
          <w:b w:val="0"/>
          <w:bCs/>
          <w:i w:val="0"/>
          <w:iCs w:val="0"/>
          <w:color w:val="auto"/>
          <w:highlight w:val="none"/>
        </w:rPr>
        <w:t>27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9BA286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_Toc13948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15.合同的解除</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_Toc13948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59FBF7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_Toc22797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16.不可抗力</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_Toc22797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F3A7EB6">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_Toc31759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17.争议的解决</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_Toc31759 \h </w:instrText>
      </w:r>
      <w:r>
        <w:rPr>
          <w:b w:val="0"/>
          <w:bCs/>
          <w:i w:val="0"/>
          <w:iCs w:val="0"/>
          <w:color w:val="auto"/>
          <w:highlight w:val="none"/>
        </w:rPr>
        <w:fldChar w:fldCharType="separate"/>
      </w:r>
      <w:r>
        <w:rPr>
          <w:b w:val="0"/>
          <w:bCs/>
          <w:i w:val="0"/>
          <w:iCs w:val="0"/>
          <w:color w:val="auto"/>
          <w:highlight w:val="none"/>
        </w:rPr>
        <w:t>28</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E837A6A">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_Toc9816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kern w:val="0"/>
          <w:szCs w:val="28"/>
          <w:highlight w:val="none"/>
        </w:rPr>
        <w:t>第二节 专用合同条款</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_Toc9816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240A39D">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_Toc4930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 一般规定</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_Toc4930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8D21F0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_Toc22561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3. 合同价格与支付</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_Toc22561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976072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_Toc14818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4. 监造及交货前检验</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_Toc14818 \h </w:instrText>
      </w:r>
      <w:r>
        <w:rPr>
          <w:b w:val="0"/>
          <w:bCs/>
          <w:i w:val="0"/>
          <w:iCs w:val="0"/>
          <w:color w:val="auto"/>
          <w:highlight w:val="none"/>
        </w:rPr>
        <w:fldChar w:fldCharType="separate"/>
      </w:r>
      <w:r>
        <w:rPr>
          <w:b w:val="0"/>
          <w:bCs/>
          <w:i w:val="0"/>
          <w:iCs w:val="0"/>
          <w:color w:val="auto"/>
          <w:highlight w:val="none"/>
        </w:rPr>
        <w:t>30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9ECD17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_Toc18931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5. 包装、标记、运输和交付</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_Toc18931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B0D041E">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_Toc26228 </w:instrText>
      </w:r>
      <w:r>
        <w:rPr>
          <w:rFonts w:hint="eastAsia" w:ascii="宋体" w:hAnsi="宋体" w:cs="宋体"/>
          <w:b w:val="0"/>
          <w:bCs/>
          <w:i w:val="0"/>
          <w:iCs w:val="0"/>
          <w:color w:val="auto"/>
          <w:szCs w:val="20"/>
          <w:highlight w:val="none"/>
          <w:lang w:val="zh-CN"/>
        </w:rPr>
        <w:fldChar w:fldCharType="separate"/>
      </w:r>
      <w:r>
        <w:rPr>
          <w:rFonts w:ascii="宋体" w:hAnsi="宋体" w:eastAsia="宋体"/>
          <w:b w:val="0"/>
          <w:bCs/>
          <w:i w:val="0"/>
          <w:iCs w:val="0"/>
          <w:color w:val="auto"/>
          <w:szCs w:val="32"/>
          <w:highlight w:val="none"/>
        </w:rPr>
        <w:t>6.</w:t>
      </w:r>
      <w:r>
        <w:rPr>
          <w:rFonts w:hint="eastAsia" w:ascii="宋体" w:hAnsi="宋体" w:eastAsia="宋体"/>
          <w:b w:val="0"/>
          <w:bCs/>
          <w:i w:val="0"/>
          <w:iCs w:val="0"/>
          <w:color w:val="auto"/>
          <w:szCs w:val="32"/>
          <w:highlight w:val="none"/>
        </w:rPr>
        <w:t xml:space="preserve"> 开箱检验、安装、调试、考核、验收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_Toc26228 \h </w:instrText>
      </w:r>
      <w:r>
        <w:rPr>
          <w:b w:val="0"/>
          <w:bCs/>
          <w:i w:val="0"/>
          <w:iCs w:val="0"/>
          <w:color w:val="auto"/>
          <w:highlight w:val="none"/>
        </w:rPr>
        <w:fldChar w:fldCharType="separate"/>
      </w:r>
      <w:r>
        <w:rPr>
          <w:b w:val="0"/>
          <w:bCs/>
          <w:i w:val="0"/>
          <w:iCs w:val="0"/>
          <w:color w:val="auto"/>
          <w:highlight w:val="none"/>
        </w:rPr>
        <w:t>31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3CA567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_Toc9410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7. 技术服务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_Toc9410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18B966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_Toc155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8. 质量保证期</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_Toc155 \h </w:instrText>
      </w:r>
      <w:r>
        <w:rPr>
          <w:b w:val="0"/>
          <w:bCs/>
          <w:i w:val="0"/>
          <w:iCs w:val="0"/>
          <w:color w:val="auto"/>
          <w:highlight w:val="none"/>
        </w:rPr>
        <w:fldChar w:fldCharType="separate"/>
      </w:r>
      <w:r>
        <w:rPr>
          <w:b w:val="0"/>
          <w:bCs/>
          <w:i w:val="0"/>
          <w:iCs w:val="0"/>
          <w:color w:val="auto"/>
          <w:highlight w:val="none"/>
        </w:rPr>
        <w:t>32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CAE3291">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_Toc29237 </w:instrText>
      </w:r>
      <w:r>
        <w:rPr>
          <w:rFonts w:hint="eastAsia" w:ascii="宋体" w:hAnsi="宋体" w:cs="宋体"/>
          <w:b w:val="0"/>
          <w:bCs/>
          <w:i w:val="0"/>
          <w:iCs w:val="0"/>
          <w:color w:val="auto"/>
          <w:szCs w:val="20"/>
          <w:highlight w:val="none"/>
          <w:lang w:val="zh-CN"/>
        </w:rPr>
        <w:fldChar w:fldCharType="separate"/>
      </w:r>
      <w:r>
        <w:rPr>
          <w:rFonts w:ascii="宋体" w:hAnsi="宋体" w:eastAsia="宋体"/>
          <w:b w:val="0"/>
          <w:bCs/>
          <w:i w:val="0"/>
          <w:iCs w:val="0"/>
          <w:color w:val="auto"/>
          <w:szCs w:val="32"/>
          <w:highlight w:val="none"/>
        </w:rPr>
        <w:t xml:space="preserve">9. </w:t>
      </w:r>
      <w:r>
        <w:rPr>
          <w:rFonts w:hint="eastAsia" w:ascii="宋体" w:hAnsi="宋体" w:eastAsia="宋体"/>
          <w:b w:val="0"/>
          <w:bCs/>
          <w:i w:val="0"/>
          <w:iCs w:val="0"/>
          <w:color w:val="auto"/>
          <w:szCs w:val="32"/>
          <w:highlight w:val="none"/>
        </w:rPr>
        <w:t>质量保证期服务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_Toc29237 \h </w:instrText>
      </w:r>
      <w:r>
        <w:rPr>
          <w:b w:val="0"/>
          <w:bCs/>
          <w:i w:val="0"/>
          <w:iCs w:val="0"/>
          <w:color w:val="auto"/>
          <w:highlight w:val="none"/>
        </w:rPr>
        <w:fldChar w:fldCharType="separate"/>
      </w:r>
      <w:r>
        <w:rPr>
          <w:b w:val="0"/>
          <w:bCs/>
          <w:i w:val="0"/>
          <w:iCs w:val="0"/>
          <w:color w:val="auto"/>
          <w:highlight w:val="none"/>
        </w:rPr>
        <w:t>33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6A0F059">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_Toc29094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10. 履约保证金</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_Toc29094 \h </w:instrText>
      </w:r>
      <w:r>
        <w:rPr>
          <w:b w:val="0"/>
          <w:bCs/>
          <w:i w:val="0"/>
          <w:iCs w:val="0"/>
          <w:color w:val="auto"/>
          <w:highlight w:val="none"/>
        </w:rPr>
        <w:fldChar w:fldCharType="separate"/>
      </w:r>
      <w:r>
        <w:rPr>
          <w:b w:val="0"/>
          <w:bCs/>
          <w:i w:val="0"/>
          <w:iCs w:val="0"/>
          <w:color w:val="auto"/>
          <w:highlight w:val="none"/>
        </w:rPr>
        <w:t>33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4EDCCAB0">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_Toc2948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11. 保证</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_Toc2948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B6FDDA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_Toc30351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12.知识产权</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_Toc30351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9142628">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_Toc18416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14. 违约责任</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_Toc18416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185C9BC">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_Toc9970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15. 合同的解除</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_Toc9970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819DB73">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_Toc12391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16. 不可抗力</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_Toc12391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ACC55EB">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_Toc202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17.争议的解决</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_Toc202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13EC9CF">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_Toc26829 </w:instrText>
      </w:r>
      <w:r>
        <w:rPr>
          <w:rFonts w:hint="eastAsia" w:ascii="宋体" w:hAnsi="宋体" w:cs="宋体"/>
          <w:b w:val="0"/>
          <w:bCs/>
          <w:i w:val="0"/>
          <w:iCs w:val="0"/>
          <w:color w:val="auto"/>
          <w:szCs w:val="20"/>
          <w:highlight w:val="none"/>
          <w:lang w:val="zh-CN"/>
        </w:rPr>
        <w:fldChar w:fldCharType="separate"/>
      </w:r>
      <w:r>
        <w:rPr>
          <w:rFonts w:hint="eastAsia" w:ascii="宋体" w:hAnsi="宋体" w:eastAsia="宋体"/>
          <w:b w:val="0"/>
          <w:bCs/>
          <w:i w:val="0"/>
          <w:iCs w:val="0"/>
          <w:color w:val="auto"/>
          <w:szCs w:val="32"/>
          <w:highlight w:val="none"/>
        </w:rPr>
        <w:t>18.补充条款</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_Toc26829 \h </w:instrText>
      </w:r>
      <w:r>
        <w:rPr>
          <w:b w:val="0"/>
          <w:bCs/>
          <w:i w:val="0"/>
          <w:iCs w:val="0"/>
          <w:color w:val="auto"/>
          <w:highlight w:val="none"/>
        </w:rPr>
        <w:fldChar w:fldCharType="separate"/>
      </w:r>
      <w:r>
        <w:rPr>
          <w:b w:val="0"/>
          <w:bCs/>
          <w:i w:val="0"/>
          <w:iCs w:val="0"/>
          <w:color w:val="auto"/>
          <w:highlight w:val="none"/>
        </w:rPr>
        <w:t>35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6F71C6B">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_Toc1774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kern w:val="0"/>
          <w:szCs w:val="28"/>
          <w:highlight w:val="none"/>
        </w:rPr>
        <w:t>第三节 合同附件格式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_Toc1774 \h </w:instrText>
      </w:r>
      <w:r>
        <w:rPr>
          <w:b w:val="0"/>
          <w:bCs/>
          <w:i w:val="0"/>
          <w:iCs w:val="0"/>
          <w:color w:val="auto"/>
          <w:highlight w:val="none"/>
        </w:rPr>
        <w:fldChar w:fldCharType="separate"/>
      </w:r>
      <w:r>
        <w:rPr>
          <w:b w:val="0"/>
          <w:bCs/>
          <w:i w:val="0"/>
          <w:iCs w:val="0"/>
          <w:color w:val="auto"/>
          <w:highlight w:val="none"/>
        </w:rPr>
        <w:t>36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F0F9BD7">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_Toc17662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52"/>
          <w:highlight w:val="none"/>
        </w:rPr>
        <w:t>第 二 卷</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_Toc17662 \h </w:instrText>
      </w:r>
      <w:r>
        <w:rPr>
          <w:b w:val="0"/>
          <w:bCs/>
          <w:i w:val="0"/>
          <w:iCs w:val="0"/>
          <w:color w:val="auto"/>
          <w:highlight w:val="none"/>
        </w:rPr>
        <w:fldChar w:fldCharType="separate"/>
      </w:r>
      <w:r>
        <w:rPr>
          <w:b w:val="0"/>
          <w:bCs/>
          <w:i w:val="0"/>
          <w:iCs w:val="0"/>
          <w:color w:val="auto"/>
          <w:highlight w:val="none"/>
        </w:rPr>
        <w:t>40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02EA617">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_Toc12454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第五章  供货要求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_Toc12454 \h </w:instrText>
      </w:r>
      <w:r>
        <w:rPr>
          <w:b w:val="0"/>
          <w:bCs/>
          <w:i w:val="0"/>
          <w:iCs w:val="0"/>
          <w:color w:val="auto"/>
          <w:highlight w:val="none"/>
        </w:rPr>
        <w:fldChar w:fldCharType="separate"/>
      </w:r>
      <w:r>
        <w:rPr>
          <w:b w:val="0"/>
          <w:bCs/>
          <w:i w:val="0"/>
          <w:iCs w:val="0"/>
          <w:color w:val="auto"/>
          <w:highlight w:val="none"/>
        </w:rPr>
        <w:t>41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31CCDDE">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_Toc28304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28"/>
          <w:highlight w:val="none"/>
        </w:rPr>
        <w:t>一、项目概况及总体要求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_Toc28304 \h </w:instrText>
      </w:r>
      <w:r>
        <w:rPr>
          <w:b w:val="0"/>
          <w:bCs/>
          <w:i w:val="0"/>
          <w:iCs w:val="0"/>
          <w:color w:val="auto"/>
          <w:highlight w:val="none"/>
        </w:rPr>
        <w:fldChar w:fldCharType="separate"/>
      </w:r>
      <w:r>
        <w:rPr>
          <w:b w:val="0"/>
          <w:bCs/>
          <w:i w:val="0"/>
          <w:iCs w:val="0"/>
          <w:color w:val="auto"/>
          <w:highlight w:val="none"/>
        </w:rPr>
        <w:t>42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E402A76">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_Toc6875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28"/>
          <w:highlight w:val="none"/>
        </w:rPr>
        <w:t>二、设备（材料）需求一览表</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_Toc6875 \h </w:instrText>
      </w:r>
      <w:r>
        <w:rPr>
          <w:b w:val="0"/>
          <w:bCs/>
          <w:i w:val="0"/>
          <w:iCs w:val="0"/>
          <w:color w:val="auto"/>
          <w:highlight w:val="none"/>
        </w:rPr>
        <w:fldChar w:fldCharType="separate"/>
      </w:r>
      <w:r>
        <w:rPr>
          <w:b w:val="0"/>
          <w:bCs/>
          <w:i w:val="0"/>
          <w:iCs w:val="0"/>
          <w:color w:val="auto"/>
          <w:highlight w:val="none"/>
        </w:rPr>
        <w:t>42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E4CE45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_Toc27089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28"/>
          <w:highlight w:val="none"/>
        </w:rPr>
        <w:t>三、设备（材料）技术要求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_Toc27089 \h </w:instrText>
      </w:r>
      <w:r>
        <w:rPr>
          <w:b w:val="0"/>
          <w:bCs/>
          <w:i w:val="0"/>
          <w:iCs w:val="0"/>
          <w:color w:val="auto"/>
          <w:highlight w:val="none"/>
        </w:rPr>
        <w:fldChar w:fldCharType="separate"/>
      </w:r>
      <w:r>
        <w:rPr>
          <w:b w:val="0"/>
          <w:bCs/>
          <w:i w:val="0"/>
          <w:iCs w:val="0"/>
          <w:color w:val="auto"/>
          <w:highlight w:val="none"/>
        </w:rPr>
        <w:t>42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0A9EEEB">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_Toc12189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1. </w:t>
      </w:r>
      <w:r>
        <w:rPr>
          <w:rFonts w:hint="eastAsia"/>
          <w:b w:val="0"/>
          <w:bCs/>
          <w:i w:val="0"/>
          <w:iCs w:val="0"/>
          <w:color w:val="auto"/>
          <w:szCs w:val="32"/>
          <w:highlight w:val="none"/>
        </w:rPr>
        <w:t>总体要求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_Toc12189 \h </w:instrText>
      </w:r>
      <w:r>
        <w:rPr>
          <w:b w:val="0"/>
          <w:bCs/>
          <w:i w:val="0"/>
          <w:iCs w:val="0"/>
          <w:color w:val="auto"/>
          <w:highlight w:val="none"/>
        </w:rPr>
        <w:fldChar w:fldCharType="separate"/>
      </w:r>
      <w:r>
        <w:rPr>
          <w:b w:val="0"/>
          <w:bCs/>
          <w:i w:val="0"/>
          <w:iCs w:val="0"/>
          <w:color w:val="auto"/>
          <w:highlight w:val="none"/>
        </w:rPr>
        <w:t>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273D198">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_Toc31646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2. </w:t>
      </w:r>
      <w:r>
        <w:rPr>
          <w:rFonts w:hint="eastAsia"/>
          <w:b w:val="0"/>
          <w:bCs/>
          <w:i w:val="0"/>
          <w:iCs w:val="0"/>
          <w:color w:val="auto"/>
          <w:szCs w:val="32"/>
          <w:highlight w:val="none"/>
        </w:rPr>
        <w:t>通信协议与接口需求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_Toc31646 \h </w:instrText>
      </w:r>
      <w:r>
        <w:rPr>
          <w:b w:val="0"/>
          <w:bCs/>
          <w:i w:val="0"/>
          <w:iCs w:val="0"/>
          <w:color w:val="auto"/>
          <w:highlight w:val="none"/>
        </w:rPr>
        <w:fldChar w:fldCharType="separate"/>
      </w:r>
      <w:r>
        <w:rPr>
          <w:b w:val="0"/>
          <w:bCs/>
          <w:i w:val="0"/>
          <w:iCs w:val="0"/>
          <w:color w:val="auto"/>
          <w:highlight w:val="none"/>
        </w:rPr>
        <w:t>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0428E5E">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_Toc24351 </w:instrText>
      </w:r>
      <w:r>
        <w:rPr>
          <w:rFonts w:hint="eastAsia" w:ascii="宋体" w:hAnsi="宋体" w:cs="宋体"/>
          <w:b w:val="0"/>
          <w:bCs/>
          <w:i w:val="0"/>
          <w:iCs w:val="0"/>
          <w:color w:val="auto"/>
          <w:szCs w:val="20"/>
          <w:highlight w:val="none"/>
          <w:lang w:val="zh-CN"/>
        </w:rPr>
        <w:fldChar w:fldCharType="separate"/>
      </w:r>
      <w:r>
        <w:rPr>
          <w:rFonts w:ascii="Times New Roman" w:hAnsi="Times New Roman"/>
          <w:b w:val="0"/>
          <w:bCs/>
          <w:i w:val="0"/>
          <w:iCs w:val="0"/>
          <w:color w:val="auto"/>
          <w:szCs w:val="24"/>
          <w:highlight w:val="none"/>
        </w:rPr>
        <w:t xml:space="preserve">2.1 </w:t>
      </w:r>
      <w:r>
        <w:rPr>
          <w:rFonts w:hint="eastAsia" w:ascii="Times New Roman" w:hAnsi="Times New Roman"/>
          <w:b w:val="0"/>
          <w:bCs/>
          <w:i w:val="0"/>
          <w:iCs w:val="0"/>
          <w:color w:val="auto"/>
          <w:szCs w:val="24"/>
          <w:highlight w:val="none"/>
        </w:rPr>
        <w:t>通信协议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_Toc24351 \h </w:instrText>
      </w:r>
      <w:r>
        <w:rPr>
          <w:b w:val="0"/>
          <w:bCs/>
          <w:i w:val="0"/>
          <w:iCs w:val="0"/>
          <w:color w:val="auto"/>
          <w:highlight w:val="none"/>
        </w:rPr>
        <w:fldChar w:fldCharType="separate"/>
      </w:r>
      <w:r>
        <w:rPr>
          <w:b w:val="0"/>
          <w:bCs/>
          <w:i w:val="0"/>
          <w:iCs w:val="0"/>
          <w:color w:val="auto"/>
          <w:highlight w:val="none"/>
        </w:rPr>
        <w:t>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1EE5C62">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_Toc16129 </w:instrText>
      </w:r>
      <w:r>
        <w:rPr>
          <w:rFonts w:hint="eastAsia" w:ascii="宋体" w:hAnsi="宋体" w:cs="宋体"/>
          <w:b w:val="0"/>
          <w:bCs/>
          <w:i w:val="0"/>
          <w:iCs w:val="0"/>
          <w:color w:val="auto"/>
          <w:szCs w:val="20"/>
          <w:highlight w:val="none"/>
          <w:lang w:val="zh-CN"/>
        </w:rPr>
        <w:fldChar w:fldCharType="separate"/>
      </w:r>
      <w:r>
        <w:rPr>
          <w:rFonts w:hint="eastAsia" w:ascii="Times New Roman" w:hAnsi="Times New Roman"/>
          <w:b w:val="0"/>
          <w:bCs/>
          <w:i w:val="0"/>
          <w:iCs w:val="0"/>
          <w:color w:val="auto"/>
          <w:szCs w:val="24"/>
          <w:highlight w:val="none"/>
        </w:rPr>
        <w:t xml:space="preserve">2.2 </w:t>
      </w:r>
      <w:r>
        <w:rPr>
          <w:rFonts w:ascii="Times New Roman" w:hAnsi="Times New Roman"/>
          <w:b w:val="0"/>
          <w:bCs/>
          <w:i w:val="0"/>
          <w:iCs w:val="0"/>
          <w:color w:val="auto"/>
          <w:szCs w:val="24"/>
          <w:highlight w:val="none"/>
        </w:rPr>
        <w:t>实时通信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_Toc16129 \h </w:instrText>
      </w:r>
      <w:r>
        <w:rPr>
          <w:b w:val="0"/>
          <w:bCs/>
          <w:i w:val="0"/>
          <w:iCs w:val="0"/>
          <w:color w:val="auto"/>
          <w:highlight w:val="none"/>
        </w:rPr>
        <w:fldChar w:fldCharType="separate"/>
      </w:r>
      <w:r>
        <w:rPr>
          <w:b w:val="0"/>
          <w:bCs/>
          <w:i w:val="0"/>
          <w:iCs w:val="0"/>
          <w:color w:val="auto"/>
          <w:highlight w:val="none"/>
        </w:rPr>
        <w:t>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49278FF">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_Toc7516 </w:instrText>
      </w:r>
      <w:r>
        <w:rPr>
          <w:rFonts w:hint="eastAsia" w:ascii="宋体" w:hAnsi="宋体" w:cs="宋体"/>
          <w:b w:val="0"/>
          <w:bCs/>
          <w:i w:val="0"/>
          <w:iCs w:val="0"/>
          <w:color w:val="auto"/>
          <w:szCs w:val="20"/>
          <w:highlight w:val="none"/>
          <w:lang w:val="zh-CN"/>
        </w:rPr>
        <w:fldChar w:fldCharType="separate"/>
      </w:r>
      <w:r>
        <w:rPr>
          <w:rFonts w:hint="eastAsia" w:ascii="Times New Roman" w:hAnsi="Times New Roman"/>
          <w:b w:val="0"/>
          <w:bCs/>
          <w:i w:val="0"/>
          <w:iCs w:val="0"/>
          <w:color w:val="auto"/>
          <w:szCs w:val="24"/>
          <w:highlight w:val="none"/>
        </w:rPr>
        <w:t>2.3 双向通信</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_Toc7516 \h </w:instrText>
      </w:r>
      <w:r>
        <w:rPr>
          <w:b w:val="0"/>
          <w:bCs/>
          <w:i w:val="0"/>
          <w:iCs w:val="0"/>
          <w:color w:val="auto"/>
          <w:highlight w:val="none"/>
        </w:rPr>
        <w:fldChar w:fldCharType="separate"/>
      </w:r>
      <w:r>
        <w:rPr>
          <w:b w:val="0"/>
          <w:bCs/>
          <w:i w:val="0"/>
          <w:iCs w:val="0"/>
          <w:color w:val="auto"/>
          <w:highlight w:val="none"/>
        </w:rPr>
        <w:t>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94B4C50">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_Toc28860 </w:instrText>
      </w:r>
      <w:r>
        <w:rPr>
          <w:rFonts w:hint="eastAsia" w:ascii="宋体" w:hAnsi="宋体" w:cs="宋体"/>
          <w:b w:val="0"/>
          <w:bCs/>
          <w:i w:val="0"/>
          <w:iCs w:val="0"/>
          <w:color w:val="auto"/>
          <w:szCs w:val="20"/>
          <w:highlight w:val="none"/>
          <w:lang w:val="zh-CN"/>
        </w:rPr>
        <w:fldChar w:fldCharType="separate"/>
      </w:r>
      <w:r>
        <w:rPr>
          <w:rFonts w:hint="eastAsia" w:ascii="Times New Roman" w:hAnsi="Times New Roman"/>
          <w:b w:val="0"/>
          <w:bCs/>
          <w:i w:val="0"/>
          <w:iCs w:val="0"/>
          <w:color w:val="auto"/>
          <w:szCs w:val="24"/>
          <w:highlight w:val="none"/>
        </w:rPr>
        <w:t xml:space="preserve">2.4 </w:t>
      </w:r>
      <w:r>
        <w:rPr>
          <w:rFonts w:ascii="Times New Roman" w:hAnsi="Times New Roman"/>
          <w:b w:val="0"/>
          <w:bCs/>
          <w:i w:val="0"/>
          <w:iCs w:val="0"/>
          <w:color w:val="auto"/>
          <w:szCs w:val="24"/>
          <w:highlight w:val="none"/>
        </w:rPr>
        <w:t>多客户端并发访问</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_Toc28860 \h </w:instrText>
      </w:r>
      <w:r>
        <w:rPr>
          <w:b w:val="0"/>
          <w:bCs/>
          <w:i w:val="0"/>
          <w:iCs w:val="0"/>
          <w:color w:val="auto"/>
          <w:highlight w:val="none"/>
        </w:rPr>
        <w:fldChar w:fldCharType="separate"/>
      </w:r>
      <w:r>
        <w:rPr>
          <w:b w:val="0"/>
          <w:bCs/>
          <w:i w:val="0"/>
          <w:iCs w:val="0"/>
          <w:color w:val="auto"/>
          <w:highlight w:val="none"/>
        </w:rPr>
        <w:t>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81FA663">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_Toc12790 </w:instrText>
      </w:r>
      <w:r>
        <w:rPr>
          <w:rFonts w:hint="eastAsia" w:ascii="宋体" w:hAnsi="宋体" w:cs="宋体"/>
          <w:b w:val="0"/>
          <w:bCs/>
          <w:i w:val="0"/>
          <w:iCs w:val="0"/>
          <w:color w:val="auto"/>
          <w:szCs w:val="20"/>
          <w:highlight w:val="none"/>
          <w:lang w:val="zh-CN"/>
        </w:rPr>
        <w:fldChar w:fldCharType="separate"/>
      </w:r>
      <w:r>
        <w:rPr>
          <w:rFonts w:hint="eastAsia" w:ascii="Times New Roman" w:hAnsi="Times New Roman"/>
          <w:b w:val="0"/>
          <w:bCs/>
          <w:i w:val="0"/>
          <w:iCs w:val="0"/>
          <w:color w:val="auto"/>
          <w:szCs w:val="24"/>
          <w:highlight w:val="none"/>
        </w:rPr>
        <w:t>2.5 数据点表</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_Toc12790 \h </w:instrText>
      </w:r>
      <w:r>
        <w:rPr>
          <w:b w:val="0"/>
          <w:bCs/>
          <w:i w:val="0"/>
          <w:iCs w:val="0"/>
          <w:color w:val="auto"/>
          <w:highlight w:val="none"/>
        </w:rPr>
        <w:fldChar w:fldCharType="separate"/>
      </w:r>
      <w:r>
        <w:rPr>
          <w:b w:val="0"/>
          <w:bCs/>
          <w:i w:val="0"/>
          <w:iCs w:val="0"/>
          <w:color w:val="auto"/>
          <w:highlight w:val="none"/>
        </w:rPr>
        <w:t>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69A3A53">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_Toc26666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3. </w:t>
      </w:r>
      <w:r>
        <w:rPr>
          <w:rFonts w:hint="eastAsia"/>
          <w:b w:val="0"/>
          <w:bCs/>
          <w:i w:val="0"/>
          <w:iCs w:val="0"/>
          <w:color w:val="auto"/>
          <w:szCs w:val="32"/>
          <w:highlight w:val="none"/>
        </w:rPr>
        <w:t>数据开放范围与内容</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_Toc26666 \h </w:instrText>
      </w:r>
      <w:r>
        <w:rPr>
          <w:b w:val="0"/>
          <w:bCs/>
          <w:i w:val="0"/>
          <w:iCs w:val="0"/>
          <w:color w:val="auto"/>
          <w:highlight w:val="none"/>
        </w:rPr>
        <w:fldChar w:fldCharType="separate"/>
      </w:r>
      <w:r>
        <w:rPr>
          <w:b w:val="0"/>
          <w:bCs/>
          <w:i w:val="0"/>
          <w:iCs w:val="0"/>
          <w:color w:val="auto"/>
          <w:highlight w:val="none"/>
        </w:rPr>
        <w:t>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1CA9E4E">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_Toc5144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4. </w:t>
      </w:r>
      <w:r>
        <w:rPr>
          <w:rFonts w:hint="eastAsia"/>
          <w:b w:val="0"/>
          <w:bCs/>
          <w:i w:val="0"/>
          <w:iCs w:val="0"/>
          <w:color w:val="auto"/>
          <w:szCs w:val="32"/>
          <w:highlight w:val="none"/>
        </w:rPr>
        <w:t>系统集成与自动化作业能力</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_Toc5144 \h </w:instrText>
      </w:r>
      <w:r>
        <w:rPr>
          <w:b w:val="0"/>
          <w:bCs/>
          <w:i w:val="0"/>
          <w:iCs w:val="0"/>
          <w:color w:val="auto"/>
          <w:highlight w:val="none"/>
        </w:rPr>
        <w:fldChar w:fldCharType="separate"/>
      </w:r>
      <w:r>
        <w:rPr>
          <w:b w:val="0"/>
          <w:bCs/>
          <w:i w:val="0"/>
          <w:iCs w:val="0"/>
          <w:color w:val="auto"/>
          <w:highlight w:val="none"/>
        </w:rPr>
        <w:t>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43349B5">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_Toc12313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5. </w:t>
      </w:r>
      <w:r>
        <w:rPr>
          <w:rFonts w:hint="eastAsia"/>
          <w:b w:val="0"/>
          <w:bCs/>
          <w:i w:val="0"/>
          <w:iCs w:val="0"/>
          <w:color w:val="auto"/>
          <w:szCs w:val="32"/>
          <w:highlight w:val="none"/>
        </w:rPr>
        <w:t>时间同步与时间戳</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_Toc12313 \h </w:instrText>
      </w:r>
      <w:r>
        <w:rPr>
          <w:b w:val="0"/>
          <w:bCs/>
          <w:i w:val="0"/>
          <w:iCs w:val="0"/>
          <w:color w:val="auto"/>
          <w:highlight w:val="none"/>
        </w:rPr>
        <w:fldChar w:fldCharType="separate"/>
      </w:r>
      <w:r>
        <w:rPr>
          <w:b w:val="0"/>
          <w:bCs/>
          <w:i w:val="0"/>
          <w:iCs w:val="0"/>
          <w:color w:val="auto"/>
          <w:highlight w:val="none"/>
        </w:rPr>
        <w:t>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B6AFF82">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_Toc6756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6. </w:t>
      </w:r>
      <w:r>
        <w:rPr>
          <w:rFonts w:hint="eastAsia"/>
          <w:b w:val="0"/>
          <w:bCs/>
          <w:i w:val="0"/>
          <w:iCs w:val="0"/>
          <w:color w:val="auto"/>
          <w:szCs w:val="32"/>
          <w:highlight w:val="none"/>
        </w:rPr>
        <w:t>数据质量与稳定性要求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_Toc6756 \h </w:instrText>
      </w:r>
      <w:r>
        <w:rPr>
          <w:b w:val="0"/>
          <w:bCs/>
          <w:i w:val="0"/>
          <w:iCs w:val="0"/>
          <w:color w:val="auto"/>
          <w:highlight w:val="none"/>
        </w:rPr>
        <w:fldChar w:fldCharType="separate"/>
      </w:r>
      <w:r>
        <w:rPr>
          <w:b w:val="0"/>
          <w:bCs/>
          <w:i w:val="0"/>
          <w:iCs w:val="0"/>
          <w:color w:val="auto"/>
          <w:highlight w:val="none"/>
        </w:rPr>
        <w:t>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85297F3">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_Toc1933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7. </w:t>
      </w:r>
      <w:r>
        <w:rPr>
          <w:rFonts w:hint="eastAsia"/>
          <w:b w:val="0"/>
          <w:bCs/>
          <w:i w:val="0"/>
          <w:iCs w:val="0"/>
          <w:color w:val="auto"/>
          <w:szCs w:val="32"/>
          <w:highlight w:val="none"/>
        </w:rPr>
        <w:t>安全与权限要求</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_Toc1933 \h </w:instrText>
      </w:r>
      <w:r>
        <w:rPr>
          <w:b w:val="0"/>
          <w:bCs/>
          <w:i w:val="0"/>
          <w:iCs w:val="0"/>
          <w:color w:val="auto"/>
          <w:highlight w:val="none"/>
        </w:rPr>
        <w:fldChar w:fldCharType="separate"/>
      </w:r>
      <w:r>
        <w:rPr>
          <w:b w:val="0"/>
          <w:bCs/>
          <w:i w:val="0"/>
          <w:iCs w:val="0"/>
          <w:color w:val="auto"/>
          <w:highlight w:val="none"/>
        </w:rPr>
        <w:t>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442D80A">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_Toc18213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8. </w:t>
      </w:r>
      <w:r>
        <w:rPr>
          <w:rFonts w:hint="eastAsia"/>
          <w:b w:val="0"/>
          <w:bCs/>
          <w:i w:val="0"/>
          <w:iCs w:val="0"/>
          <w:color w:val="auto"/>
          <w:szCs w:val="32"/>
          <w:highlight w:val="none"/>
        </w:rPr>
        <w:t>联调、测试与验收</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_Toc18213 \h </w:instrText>
      </w:r>
      <w:r>
        <w:rPr>
          <w:b w:val="0"/>
          <w:bCs/>
          <w:i w:val="0"/>
          <w:iCs w:val="0"/>
          <w:color w:val="auto"/>
          <w:highlight w:val="none"/>
        </w:rPr>
        <w:fldChar w:fldCharType="separate"/>
      </w:r>
      <w:r>
        <w:rPr>
          <w:b w:val="0"/>
          <w:bCs/>
          <w:i w:val="0"/>
          <w:iCs w:val="0"/>
          <w:color w:val="auto"/>
          <w:highlight w:val="none"/>
        </w:rPr>
        <w:t>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6427320">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_Toc4495 </w:instrText>
      </w:r>
      <w:r>
        <w:rPr>
          <w:rFonts w:hint="eastAsia" w:ascii="宋体" w:hAnsi="宋体" w:cs="宋体"/>
          <w:b w:val="0"/>
          <w:bCs/>
          <w:i w:val="0"/>
          <w:iCs w:val="0"/>
          <w:color w:val="auto"/>
          <w:szCs w:val="20"/>
          <w:highlight w:val="none"/>
          <w:lang w:val="zh-CN"/>
        </w:rPr>
        <w:fldChar w:fldCharType="separate"/>
      </w:r>
      <w:r>
        <w:rPr>
          <w:rFonts w:hint="default"/>
          <w:b w:val="0"/>
          <w:bCs/>
          <w:i w:val="0"/>
          <w:iCs w:val="0"/>
          <w:color w:val="auto"/>
          <w:szCs w:val="32"/>
          <w:highlight w:val="none"/>
        </w:rPr>
        <w:t xml:space="preserve">9. </w:t>
      </w:r>
      <w:r>
        <w:rPr>
          <w:rFonts w:hint="eastAsia"/>
          <w:b w:val="0"/>
          <w:bCs/>
          <w:i w:val="0"/>
          <w:iCs w:val="0"/>
          <w:color w:val="auto"/>
          <w:szCs w:val="32"/>
          <w:highlight w:val="none"/>
        </w:rPr>
        <w:t>交付物</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_Toc4495 \h </w:instrText>
      </w:r>
      <w:r>
        <w:rPr>
          <w:b w:val="0"/>
          <w:bCs/>
          <w:i w:val="0"/>
          <w:iCs w:val="0"/>
          <w:color w:val="auto"/>
          <w:highlight w:val="none"/>
        </w:rPr>
        <w:fldChar w:fldCharType="separate"/>
      </w:r>
      <w:r>
        <w:rPr>
          <w:b w:val="0"/>
          <w:bCs/>
          <w:i w:val="0"/>
          <w:iCs w:val="0"/>
          <w:color w:val="auto"/>
          <w:highlight w:val="none"/>
        </w:rPr>
        <w:t>6</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FEE0FDA">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_Toc31598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52"/>
          <w:highlight w:val="none"/>
        </w:rPr>
        <w:t>第 三 卷</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_Toc31598 \h </w:instrText>
      </w:r>
      <w:r>
        <w:rPr>
          <w:b w:val="0"/>
          <w:bCs/>
          <w:i w:val="0"/>
          <w:iCs w:val="0"/>
          <w:color w:val="auto"/>
          <w:highlight w:val="none"/>
        </w:rPr>
        <w:fldChar w:fldCharType="separate"/>
      </w:r>
      <w:r>
        <w:rPr>
          <w:b w:val="0"/>
          <w:bCs/>
          <w:i w:val="0"/>
          <w:iCs w:val="0"/>
          <w:color w:val="auto"/>
          <w:highlight w:val="none"/>
        </w:rPr>
        <w:t>34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CB823F2">
      <w:pPr>
        <w:pStyle w:val="31"/>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_Toc29807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第六章  投标文件格式</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_Toc29807 \h </w:instrText>
      </w:r>
      <w:r>
        <w:rPr>
          <w:b w:val="0"/>
          <w:bCs/>
          <w:i w:val="0"/>
          <w:iCs w:val="0"/>
          <w:color w:val="auto"/>
          <w:highlight w:val="none"/>
        </w:rPr>
        <w:fldChar w:fldCharType="separate"/>
      </w:r>
      <w:r>
        <w:rPr>
          <w:b w:val="0"/>
          <w:bCs/>
          <w:i w:val="0"/>
          <w:iCs w:val="0"/>
          <w:color w:val="auto"/>
          <w:highlight w:val="none"/>
        </w:rPr>
        <w:t>35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9623D78">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_Toc28613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44"/>
          <w:highlight w:val="none"/>
        </w:rPr>
        <w:t>一、投标函部分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_Toc28613 \h </w:instrText>
      </w:r>
      <w:r>
        <w:rPr>
          <w:b w:val="0"/>
          <w:bCs/>
          <w:i w:val="0"/>
          <w:iCs w:val="0"/>
          <w:color w:val="auto"/>
          <w:highlight w:val="none"/>
        </w:rPr>
        <w:fldChar w:fldCharType="separate"/>
      </w:r>
      <w:r>
        <w:rPr>
          <w:b w:val="0"/>
          <w:bCs/>
          <w:i w:val="0"/>
          <w:iCs w:val="0"/>
          <w:color w:val="auto"/>
          <w:highlight w:val="none"/>
        </w:rPr>
        <w:t>37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105A57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_Toc27686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（一）投标函</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_Toc27686 \h </w:instrText>
      </w:r>
      <w:r>
        <w:rPr>
          <w:b w:val="0"/>
          <w:bCs/>
          <w:i w:val="0"/>
          <w:iCs w:val="0"/>
          <w:color w:val="auto"/>
          <w:highlight w:val="none"/>
        </w:rPr>
        <w:fldChar w:fldCharType="separate"/>
      </w:r>
      <w:r>
        <w:rPr>
          <w:b w:val="0"/>
          <w:bCs/>
          <w:i w:val="0"/>
          <w:iCs w:val="0"/>
          <w:color w:val="auto"/>
          <w:highlight w:val="none"/>
        </w:rPr>
        <w:t>40</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C1106FE">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_Toc1929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（二）</w:t>
      </w:r>
      <w:r>
        <w:rPr>
          <w:rFonts w:hint="eastAsia" w:ascii="宋体" w:hAnsi="宋体" w:cs="宋体"/>
          <w:b w:val="0"/>
          <w:bCs/>
          <w:i w:val="0"/>
          <w:iCs w:val="0"/>
          <w:color w:val="auto"/>
          <w:szCs w:val="20"/>
          <w:highlight w:val="none"/>
        </w:rPr>
        <w:t>分项报价表</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_Toc1929 \h </w:instrText>
      </w:r>
      <w:r>
        <w:rPr>
          <w:b w:val="0"/>
          <w:bCs/>
          <w:i w:val="0"/>
          <w:iCs w:val="0"/>
          <w:color w:val="auto"/>
          <w:highlight w:val="none"/>
        </w:rPr>
        <w:fldChar w:fldCharType="separate"/>
      </w:r>
      <w:r>
        <w:rPr>
          <w:b w:val="0"/>
          <w:bCs/>
          <w:i w:val="0"/>
          <w:iCs w:val="0"/>
          <w:color w:val="auto"/>
          <w:highlight w:val="none"/>
        </w:rPr>
        <w:t>41</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5CBB6D2">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_Toc12476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20"/>
          <w:highlight w:val="none"/>
        </w:rPr>
        <w:t>（三）</w:t>
      </w:r>
      <w:r>
        <w:rPr>
          <w:rFonts w:hint="eastAsia" w:ascii="宋体" w:hAnsi="宋体" w:cs="宋体"/>
          <w:b w:val="0"/>
          <w:bCs/>
          <w:i w:val="0"/>
          <w:iCs w:val="0"/>
          <w:snapToGrid w:val="0"/>
          <w:color w:val="auto"/>
          <w:kern w:val="0"/>
          <w:szCs w:val="32"/>
          <w:highlight w:val="none"/>
        </w:rPr>
        <w:t>投标报价合理性说明（如有）</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_Toc12476 \h </w:instrText>
      </w:r>
      <w:r>
        <w:rPr>
          <w:b w:val="0"/>
          <w:bCs/>
          <w:i w:val="0"/>
          <w:iCs w:val="0"/>
          <w:color w:val="auto"/>
          <w:highlight w:val="none"/>
        </w:rPr>
        <w:fldChar w:fldCharType="separate"/>
      </w:r>
      <w:r>
        <w:rPr>
          <w:b w:val="0"/>
          <w:bCs/>
          <w:i w:val="0"/>
          <w:iCs w:val="0"/>
          <w:color w:val="auto"/>
          <w:highlight w:val="none"/>
        </w:rPr>
        <w:t>44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2B731367">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_Toc31806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（四）</w:t>
      </w:r>
      <w:r>
        <w:rPr>
          <w:rFonts w:hint="eastAsia" w:ascii="宋体" w:hAnsi="宋体" w:cs="宋体"/>
          <w:b w:val="0"/>
          <w:bCs/>
          <w:i w:val="0"/>
          <w:iCs w:val="0"/>
          <w:color w:val="auto"/>
          <w:szCs w:val="30"/>
          <w:highlight w:val="none"/>
        </w:rPr>
        <w:t>法定代表人身份证明或授权委托书</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_Toc31806 \h </w:instrText>
      </w:r>
      <w:r>
        <w:rPr>
          <w:b w:val="0"/>
          <w:bCs/>
          <w:i w:val="0"/>
          <w:iCs w:val="0"/>
          <w:color w:val="auto"/>
          <w:highlight w:val="none"/>
        </w:rPr>
        <w:fldChar w:fldCharType="separate"/>
      </w:r>
      <w:r>
        <w:rPr>
          <w:b w:val="0"/>
          <w:bCs/>
          <w:i w:val="0"/>
          <w:iCs w:val="0"/>
          <w:color w:val="auto"/>
          <w:highlight w:val="none"/>
        </w:rPr>
        <w:t>45</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1F18601">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_Toc22746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44"/>
          <w:highlight w:val="none"/>
        </w:rPr>
        <w:t>二、商务部分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_Toc22746 \h </w:instrText>
      </w:r>
      <w:r>
        <w:rPr>
          <w:b w:val="0"/>
          <w:bCs/>
          <w:i w:val="0"/>
          <w:iCs w:val="0"/>
          <w:color w:val="auto"/>
          <w:highlight w:val="none"/>
        </w:rPr>
        <w:fldChar w:fldCharType="separate"/>
      </w:r>
      <w:r>
        <w:rPr>
          <w:b w:val="0"/>
          <w:bCs/>
          <w:i w:val="0"/>
          <w:iCs w:val="0"/>
          <w:color w:val="auto"/>
          <w:highlight w:val="none"/>
        </w:rPr>
        <w:t>47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16C7A52A">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_Toc2131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44"/>
          <w:highlight w:val="none"/>
        </w:rPr>
        <w:t>三、技术部分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_Toc2131 \h </w:instrText>
      </w:r>
      <w:r>
        <w:rPr>
          <w:b w:val="0"/>
          <w:bCs/>
          <w:i w:val="0"/>
          <w:iCs w:val="0"/>
          <w:color w:val="auto"/>
          <w:highlight w:val="none"/>
        </w:rPr>
        <w:fldChar w:fldCharType="separate"/>
      </w:r>
      <w:r>
        <w:rPr>
          <w:b w:val="0"/>
          <w:bCs/>
          <w:i w:val="0"/>
          <w:iCs w:val="0"/>
          <w:color w:val="auto"/>
          <w:highlight w:val="none"/>
        </w:rPr>
        <w:t>52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384D7F05">
      <w:pPr>
        <w:pStyle w:val="37"/>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_Toc25072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44"/>
          <w:highlight w:val="none"/>
        </w:rPr>
        <w:t>四、资格审查部分</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_Toc25072 \h </w:instrText>
      </w:r>
      <w:r>
        <w:rPr>
          <w:b w:val="0"/>
          <w:bCs/>
          <w:i w:val="0"/>
          <w:iCs w:val="0"/>
          <w:color w:val="auto"/>
          <w:highlight w:val="none"/>
        </w:rPr>
        <w:fldChar w:fldCharType="separate"/>
      </w:r>
      <w:r>
        <w:rPr>
          <w:b w:val="0"/>
          <w:bCs/>
          <w:i w:val="0"/>
          <w:iCs w:val="0"/>
          <w:color w:val="auto"/>
          <w:highlight w:val="none"/>
        </w:rPr>
        <w:t>54</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F2FAE71">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_Toc13615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szCs w:val="30"/>
          <w:highlight w:val="none"/>
        </w:rPr>
        <w:t>（一）法定代表人身份证明或授权委托书</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_Toc13615 \h </w:instrText>
      </w:r>
      <w:r>
        <w:rPr>
          <w:b w:val="0"/>
          <w:bCs/>
          <w:i w:val="0"/>
          <w:iCs w:val="0"/>
          <w:color w:val="auto"/>
          <w:highlight w:val="none"/>
        </w:rPr>
        <w:fldChar w:fldCharType="separate"/>
      </w:r>
      <w:r>
        <w:rPr>
          <w:b w:val="0"/>
          <w:bCs/>
          <w:i w:val="0"/>
          <w:iCs w:val="0"/>
          <w:color w:val="auto"/>
          <w:highlight w:val="none"/>
        </w:rPr>
        <w:t>57</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60A2491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_Toc4766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（二）</w:t>
      </w:r>
      <w:r>
        <w:rPr>
          <w:rFonts w:hint="eastAsia" w:ascii="宋体" w:hAnsi="宋体" w:cs="宋体"/>
          <w:b w:val="0"/>
          <w:bCs/>
          <w:i w:val="0"/>
          <w:iCs w:val="0"/>
          <w:snapToGrid w:val="0"/>
          <w:color w:val="auto"/>
          <w:highlight w:val="none"/>
        </w:rPr>
        <w:t>制造商资格声明</w:t>
      </w:r>
      <w:r>
        <w:rPr>
          <w:rFonts w:hint="eastAsia" w:ascii="宋体" w:hAnsi="宋体" w:cs="宋体"/>
          <w:b w:val="0"/>
          <w:bCs/>
          <w:i w:val="0"/>
          <w:iCs w:val="0"/>
          <w:color w:val="auto"/>
          <w:szCs w:val="21"/>
          <w:highlight w:val="none"/>
        </w:rPr>
        <w:t>（制造商投标时提供）</w:t>
      </w:r>
      <w:r>
        <w:rPr>
          <w:rFonts w:hint="eastAsia" w:ascii="宋体" w:hAnsi="宋体" w:cs="宋体"/>
          <w:b w:val="0"/>
          <w:bCs/>
          <w:i w:val="0"/>
          <w:iCs w:val="0"/>
          <w:snapToGrid w:val="0"/>
          <w:color w:val="auto"/>
          <w:highlight w:val="none"/>
        </w:rPr>
        <w:t>或</w:t>
      </w:r>
      <w:r>
        <w:rPr>
          <w:rFonts w:hint="eastAsia" w:ascii="宋体" w:hAnsi="宋体" w:cs="宋体"/>
          <w:b w:val="0"/>
          <w:bCs/>
          <w:i w:val="0"/>
          <w:iCs w:val="0"/>
          <w:color w:val="auto"/>
          <w:highlight w:val="none"/>
        </w:rPr>
        <w:t>制造商授权书（代理商投标时提供）</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_Toc4766 \h </w:instrText>
      </w:r>
      <w:r>
        <w:rPr>
          <w:b w:val="0"/>
          <w:bCs/>
          <w:i w:val="0"/>
          <w:iCs w:val="0"/>
          <w:color w:val="auto"/>
          <w:highlight w:val="none"/>
        </w:rPr>
        <w:fldChar w:fldCharType="separate"/>
      </w:r>
      <w:r>
        <w:rPr>
          <w:b w:val="0"/>
          <w:bCs/>
          <w:i w:val="0"/>
          <w:iCs w:val="0"/>
          <w:color w:val="auto"/>
          <w:highlight w:val="none"/>
        </w:rPr>
        <w:t>59</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524C8BD5">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_Toc20097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（三）承诺</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_Toc20097 \h </w:instrText>
      </w:r>
      <w:r>
        <w:rPr>
          <w:b w:val="0"/>
          <w:bCs/>
          <w:i w:val="0"/>
          <w:iCs w:val="0"/>
          <w:color w:val="auto"/>
          <w:highlight w:val="none"/>
        </w:rPr>
        <w:fldChar w:fldCharType="separate"/>
      </w:r>
      <w:r>
        <w:rPr>
          <w:b w:val="0"/>
          <w:bCs/>
          <w:i w:val="0"/>
          <w:iCs w:val="0"/>
          <w:color w:val="auto"/>
          <w:highlight w:val="none"/>
        </w:rPr>
        <w:t>62</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0C8F7754">
      <w:pPr>
        <w:pStyle w:val="22"/>
        <w:tabs>
          <w:tab w:val="right" w:leader="dot" w:pos="9469"/>
        </w:tabs>
        <w:rPr>
          <w:b w:val="0"/>
          <w:bCs/>
          <w:i w:val="0"/>
          <w:iCs w:val="0"/>
          <w:color w:val="auto"/>
          <w:highlight w:val="none"/>
        </w:rPr>
      </w:pPr>
      <w:r>
        <w:rPr>
          <w:rFonts w:hint="eastAsia" w:ascii="宋体" w:hAnsi="宋体" w:cs="宋体"/>
          <w:b w:val="0"/>
          <w:bCs/>
          <w:i w:val="0"/>
          <w:iCs w:val="0"/>
          <w:color w:val="auto"/>
          <w:szCs w:val="20"/>
          <w:highlight w:val="none"/>
          <w:lang w:val="zh-CN"/>
        </w:rPr>
        <w:fldChar w:fldCharType="begin"/>
      </w:r>
      <w:r>
        <w:rPr>
          <w:rFonts w:hint="eastAsia" w:ascii="宋体" w:hAnsi="宋体" w:cs="宋体"/>
          <w:b w:val="0"/>
          <w:bCs/>
          <w:i w:val="0"/>
          <w:iCs w:val="0"/>
          <w:color w:val="auto"/>
          <w:szCs w:val="20"/>
          <w:highlight w:val="none"/>
          <w:lang w:val="zh-CN"/>
        </w:rPr>
        <w:instrText xml:space="preserve"> HYPERLINK \l _Toc20791 </w:instrText>
      </w:r>
      <w:r>
        <w:rPr>
          <w:rFonts w:hint="eastAsia" w:ascii="宋体" w:hAnsi="宋体" w:cs="宋体"/>
          <w:b w:val="0"/>
          <w:bCs/>
          <w:i w:val="0"/>
          <w:iCs w:val="0"/>
          <w:color w:val="auto"/>
          <w:szCs w:val="20"/>
          <w:highlight w:val="none"/>
          <w:lang w:val="zh-CN"/>
        </w:rPr>
        <w:fldChar w:fldCharType="separate"/>
      </w:r>
      <w:r>
        <w:rPr>
          <w:rFonts w:hint="eastAsia" w:ascii="宋体" w:hAnsi="宋体" w:cs="宋体"/>
          <w:b w:val="0"/>
          <w:bCs/>
          <w:i w:val="0"/>
          <w:iCs w:val="0"/>
          <w:color w:val="auto"/>
          <w:highlight w:val="none"/>
        </w:rPr>
        <w:t>（四）其他资料</w:t>
      </w:r>
      <w:r>
        <w:rPr>
          <w:b w:val="0"/>
          <w:bCs/>
          <w:i w:val="0"/>
          <w:iCs w:val="0"/>
          <w:color w:val="auto"/>
          <w:highlight w:val="none"/>
        </w:rPr>
        <w:tab/>
      </w:r>
      <w:r>
        <w:rPr>
          <w:b w:val="0"/>
          <w:bCs/>
          <w:i w:val="0"/>
          <w:iCs w:val="0"/>
          <w:color w:val="auto"/>
          <w:highlight w:val="none"/>
        </w:rPr>
        <w:fldChar w:fldCharType="begin"/>
      </w:r>
      <w:r>
        <w:rPr>
          <w:b w:val="0"/>
          <w:bCs/>
          <w:i w:val="0"/>
          <w:iCs w:val="0"/>
          <w:color w:val="auto"/>
          <w:highlight w:val="none"/>
        </w:rPr>
        <w:instrText xml:space="preserve"> PAGEREF _Toc20791 \h </w:instrText>
      </w:r>
      <w:r>
        <w:rPr>
          <w:b w:val="0"/>
          <w:bCs/>
          <w:i w:val="0"/>
          <w:iCs w:val="0"/>
          <w:color w:val="auto"/>
          <w:highlight w:val="none"/>
        </w:rPr>
        <w:fldChar w:fldCharType="separate"/>
      </w:r>
      <w:r>
        <w:rPr>
          <w:b w:val="0"/>
          <w:bCs/>
          <w:i w:val="0"/>
          <w:iCs w:val="0"/>
          <w:color w:val="auto"/>
          <w:highlight w:val="none"/>
        </w:rPr>
        <w:t>63</w:t>
      </w:r>
      <w:r>
        <w:rPr>
          <w:b w:val="0"/>
          <w:bCs/>
          <w:i w:val="0"/>
          <w:iCs w:val="0"/>
          <w:color w:val="auto"/>
          <w:highlight w:val="none"/>
        </w:rPr>
        <w:fldChar w:fldCharType="end"/>
      </w:r>
      <w:r>
        <w:rPr>
          <w:rFonts w:hint="eastAsia" w:ascii="宋体" w:hAnsi="宋体" w:cs="宋体"/>
          <w:b w:val="0"/>
          <w:bCs/>
          <w:i w:val="0"/>
          <w:iCs w:val="0"/>
          <w:color w:val="auto"/>
          <w:szCs w:val="20"/>
          <w:highlight w:val="none"/>
          <w:lang w:val="zh-CN"/>
        </w:rPr>
        <w:fldChar w:fldCharType="end"/>
      </w:r>
    </w:p>
    <w:p w14:paraId="7F033C71">
      <w:pPr>
        <w:rPr>
          <w:rFonts w:hint="eastAsia" w:ascii="宋体" w:hAnsi="宋体" w:cs="宋体"/>
          <w:b w:val="0"/>
          <w:bCs/>
          <w:color w:val="auto"/>
          <w:highlight w:val="none"/>
        </w:rPr>
      </w:pPr>
      <w:r>
        <w:rPr>
          <w:rFonts w:hint="eastAsia" w:ascii="宋体" w:hAnsi="宋体" w:cs="宋体"/>
          <w:b w:val="0"/>
          <w:bCs/>
          <w:i w:val="0"/>
          <w:iCs w:val="0"/>
          <w:color w:val="auto"/>
          <w:szCs w:val="20"/>
          <w:highlight w:val="none"/>
          <w:lang w:val="zh-CN"/>
        </w:rPr>
        <w:fldChar w:fldCharType="end"/>
      </w:r>
    </w:p>
    <w:bookmarkEnd w:id="0"/>
    <w:p w14:paraId="7F033C72">
      <w:pPr>
        <w:spacing w:line="20" w:lineRule="exact"/>
        <w:rPr>
          <w:rFonts w:hint="eastAsia" w:ascii="宋体" w:hAnsi="宋体" w:cs="宋体"/>
          <w:b w:val="0"/>
          <w:bCs/>
          <w:color w:val="auto"/>
          <w:highlight w:val="none"/>
        </w:rPr>
      </w:pPr>
      <w:bookmarkStart w:id="7" w:name="_Toc430530414"/>
    </w:p>
    <w:p w14:paraId="7F033C73">
      <w:pPr>
        <w:spacing w:line="20" w:lineRule="exact"/>
        <w:jc w:val="left"/>
        <w:rPr>
          <w:rFonts w:hint="eastAsia" w:ascii="宋体" w:hAnsi="宋体" w:cs="宋体"/>
          <w:b w:val="0"/>
          <w:bCs/>
          <w:color w:val="auto"/>
          <w:highlight w:val="none"/>
        </w:rPr>
        <w:sectPr>
          <w:footerReference r:id="rId5" w:type="default"/>
          <w:pgSz w:w="11907" w:h="16840"/>
          <w:pgMar w:top="1304" w:right="1134" w:bottom="1304" w:left="1304" w:header="851" w:footer="992" w:gutter="0"/>
          <w:cols w:space="720" w:num="1"/>
          <w:docGrid w:linePitch="312" w:charSpace="0"/>
        </w:sectPr>
      </w:pPr>
    </w:p>
    <w:bookmarkEnd w:id="7"/>
    <w:p w14:paraId="7F033C74">
      <w:pPr>
        <w:spacing w:line="360" w:lineRule="auto"/>
        <w:rPr>
          <w:rFonts w:hint="eastAsia" w:ascii="宋体" w:hAnsi="宋体" w:cs="宋体"/>
          <w:b w:val="0"/>
          <w:bCs/>
          <w:color w:val="auto"/>
          <w:highlight w:val="none"/>
        </w:rPr>
      </w:pPr>
    </w:p>
    <w:p w14:paraId="7F033C75">
      <w:pPr>
        <w:pStyle w:val="3"/>
        <w:spacing w:before="0" w:after="0" w:line="480" w:lineRule="auto"/>
        <w:jc w:val="center"/>
        <w:rPr>
          <w:rFonts w:hint="eastAsia" w:ascii="宋体" w:hAnsi="宋体" w:cs="宋体"/>
          <w:b w:val="0"/>
          <w:bCs/>
          <w:color w:val="auto"/>
          <w:sz w:val="52"/>
          <w:szCs w:val="52"/>
          <w:highlight w:val="none"/>
        </w:rPr>
      </w:pPr>
      <w:bookmarkStart w:id="8" w:name="_Toc509218690"/>
      <w:bookmarkStart w:id="9" w:name="_Toc32158"/>
      <w:r>
        <w:rPr>
          <w:rFonts w:hint="eastAsia" w:ascii="宋体" w:hAnsi="宋体" w:cs="宋体"/>
          <w:b w:val="0"/>
          <w:bCs/>
          <w:color w:val="auto"/>
          <w:sz w:val="52"/>
          <w:szCs w:val="52"/>
          <w:highlight w:val="none"/>
        </w:rPr>
        <w:t>第 一 卷</w:t>
      </w:r>
      <w:bookmarkEnd w:id="8"/>
      <w:bookmarkEnd w:id="9"/>
    </w:p>
    <w:p w14:paraId="7F033C76">
      <w:pPr>
        <w:spacing w:line="200" w:lineRule="exact"/>
        <w:rPr>
          <w:rFonts w:hint="eastAsia" w:ascii="宋体" w:hAnsi="宋体" w:cs="宋体"/>
          <w:b w:val="0"/>
          <w:bCs/>
          <w:color w:val="auto"/>
          <w:highlight w:val="none"/>
        </w:rPr>
      </w:pPr>
      <w:r>
        <w:rPr>
          <w:rFonts w:hint="eastAsia" w:ascii="宋体" w:hAnsi="宋体" w:cs="宋体"/>
          <w:b w:val="0"/>
          <w:bCs/>
          <w:color w:val="auto"/>
          <w:highlight w:val="none"/>
        </w:rPr>
        <w:br w:type="page"/>
      </w:r>
    </w:p>
    <w:p w14:paraId="7F033C77">
      <w:pPr>
        <w:pStyle w:val="3"/>
        <w:spacing w:line="360" w:lineRule="auto"/>
        <w:jc w:val="center"/>
        <w:rPr>
          <w:rFonts w:hint="eastAsia" w:ascii="宋体" w:hAnsi="宋体" w:cs="宋体"/>
          <w:b w:val="0"/>
          <w:bCs/>
          <w:snapToGrid w:val="0"/>
          <w:color w:val="auto"/>
          <w:kern w:val="0"/>
          <w:highlight w:val="none"/>
        </w:rPr>
      </w:pPr>
      <w:bookmarkStart w:id="10" w:name="_Toc509218691"/>
      <w:bookmarkStart w:id="11" w:name="_Toc224103298"/>
      <w:bookmarkStart w:id="12" w:name="_Toc287607727"/>
      <w:bookmarkStart w:id="13" w:name="_Toc430530415"/>
      <w:bookmarkStart w:id="14" w:name="_Toc277082535"/>
      <w:bookmarkStart w:id="15" w:name="_Toc22926"/>
      <w:bookmarkStart w:id="16" w:name="_Toc287620666"/>
      <w:r>
        <w:rPr>
          <w:rFonts w:hint="eastAsia" w:ascii="宋体" w:hAnsi="宋体" w:cs="宋体"/>
          <w:b w:val="0"/>
          <w:bCs/>
          <w:snapToGrid w:val="0"/>
          <w:color w:val="auto"/>
          <w:kern w:val="0"/>
          <w:highlight w:val="none"/>
        </w:rPr>
        <w:t>第一章  招标公告</w:t>
      </w:r>
      <w:bookmarkEnd w:id="10"/>
      <w:bookmarkEnd w:id="11"/>
      <w:bookmarkEnd w:id="12"/>
      <w:bookmarkEnd w:id="13"/>
      <w:bookmarkEnd w:id="14"/>
      <w:bookmarkEnd w:id="15"/>
      <w:bookmarkEnd w:id="16"/>
    </w:p>
    <w:p w14:paraId="7F033C79">
      <w:pPr>
        <w:autoSpaceDE w:val="0"/>
        <w:autoSpaceDN w:val="0"/>
        <w:adjustRightInd w:val="0"/>
        <w:snapToGrid w:val="0"/>
        <w:spacing w:before="100" w:after="100" w:line="360" w:lineRule="auto"/>
        <w:jc w:val="center"/>
        <w:rPr>
          <w:rFonts w:hint="eastAsia" w:ascii="宋体" w:hAnsi="宋体" w:cs="宋体"/>
          <w:b w:val="0"/>
          <w:bCs/>
          <w:snapToGrid w:val="0"/>
          <w:color w:val="auto"/>
          <w:sz w:val="28"/>
          <w:szCs w:val="28"/>
          <w:highlight w:val="none"/>
        </w:rPr>
      </w:pPr>
      <w:r>
        <w:rPr>
          <w:rFonts w:hint="eastAsia" w:ascii="宋体" w:hAnsi="宋体" w:cs="宋体"/>
          <w:b w:val="0"/>
          <w:bCs/>
          <w:snapToGrid w:val="0"/>
          <w:color w:val="auto"/>
          <w:kern w:val="0"/>
          <w:sz w:val="28"/>
          <w:szCs w:val="28"/>
          <w:highlight w:val="none"/>
        </w:rPr>
        <w:t>重庆三航新材料技术研究院有限公司泸州项目设备招标公告</w:t>
      </w:r>
      <w:bookmarkStart w:id="17" w:name="_Toc287607728"/>
      <w:bookmarkStart w:id="18" w:name="_Toc287620667"/>
      <w:bookmarkStart w:id="19" w:name="_Toc430530416"/>
      <w:bookmarkStart w:id="20" w:name="_Toc277082536"/>
      <w:bookmarkStart w:id="21" w:name="_Toc509218692"/>
      <w:bookmarkStart w:id="22" w:name="_Toc200359238"/>
      <w:bookmarkStart w:id="23" w:name="_Toc200359427"/>
      <w:bookmarkStart w:id="24" w:name="_Toc224103299"/>
    </w:p>
    <w:p w14:paraId="7F033C7A">
      <w:pPr>
        <w:pStyle w:val="4"/>
        <w:spacing w:before="100" w:after="100" w:line="460" w:lineRule="exact"/>
        <w:rPr>
          <w:rFonts w:hint="eastAsia" w:ascii="宋体" w:hAnsi="宋体" w:cs="宋体"/>
          <w:b w:val="0"/>
          <w:bCs/>
          <w:snapToGrid w:val="0"/>
          <w:color w:val="auto"/>
          <w:sz w:val="28"/>
          <w:szCs w:val="28"/>
          <w:highlight w:val="none"/>
        </w:rPr>
      </w:pPr>
      <w:bookmarkStart w:id="25" w:name="_Toc1012"/>
      <w:r>
        <w:rPr>
          <w:rFonts w:hint="eastAsia" w:ascii="宋体" w:hAnsi="宋体" w:cs="宋体"/>
          <w:b w:val="0"/>
          <w:bCs/>
          <w:snapToGrid w:val="0"/>
          <w:color w:val="auto"/>
          <w:sz w:val="28"/>
          <w:szCs w:val="28"/>
          <w:highlight w:val="none"/>
        </w:rPr>
        <w:t>1.  招标条件</w:t>
      </w:r>
      <w:bookmarkEnd w:id="17"/>
      <w:bookmarkEnd w:id="18"/>
      <w:bookmarkEnd w:id="19"/>
      <w:bookmarkEnd w:id="20"/>
      <w:bookmarkEnd w:id="21"/>
      <w:bookmarkEnd w:id="22"/>
      <w:bookmarkEnd w:id="23"/>
      <w:bookmarkEnd w:id="24"/>
      <w:bookmarkEnd w:id="25"/>
    </w:p>
    <w:p w14:paraId="7F033C7B">
      <w:pPr>
        <w:tabs>
          <w:tab w:val="left" w:pos="3315"/>
          <w:tab w:val="left" w:pos="3390"/>
          <w:tab w:val="left" w:pos="6120"/>
          <w:tab w:val="left" w:pos="8850"/>
        </w:tabs>
        <w:autoSpaceDE w:val="0"/>
        <w:autoSpaceDN w:val="0"/>
        <w:adjustRightInd w:val="0"/>
        <w:snapToGrid w:val="0"/>
        <w:spacing w:line="460" w:lineRule="exact"/>
        <w:ind w:firstLine="42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本招标项目</w:t>
      </w:r>
      <w:r>
        <w:rPr>
          <w:rFonts w:hint="eastAsia" w:ascii="宋体" w:hAnsi="宋体" w:cs="宋体"/>
          <w:b w:val="0"/>
          <w:bCs/>
          <w:snapToGrid w:val="0"/>
          <w:color w:val="auto"/>
          <w:kern w:val="0"/>
          <w:szCs w:val="21"/>
          <w:highlight w:val="none"/>
          <w:u w:val="single"/>
        </w:rPr>
        <w:t>重庆三航新材料技术研究院有限公司泸州项目设备</w:t>
      </w:r>
      <w:r>
        <w:rPr>
          <w:rFonts w:hint="eastAsia" w:ascii="宋体" w:hAnsi="宋体" w:cs="宋体"/>
          <w:b w:val="0"/>
          <w:bCs/>
          <w:snapToGrid w:val="0"/>
          <w:color w:val="auto"/>
          <w:kern w:val="0"/>
          <w:szCs w:val="21"/>
          <w:highlight w:val="none"/>
        </w:rPr>
        <w:t>已由</w:t>
      </w:r>
      <w:r>
        <w:rPr>
          <w:rFonts w:hint="eastAsia" w:ascii="宋体" w:hAnsi="宋体" w:cs="宋体"/>
          <w:b w:val="0"/>
          <w:bCs/>
          <w:snapToGrid w:val="0"/>
          <w:color w:val="auto"/>
          <w:kern w:val="0"/>
          <w:szCs w:val="21"/>
          <w:highlight w:val="none"/>
          <w:u w:val="single"/>
        </w:rPr>
        <w:t>重庆三航新材料技术研究院有限公司第二届董事会第五次</w:t>
      </w:r>
      <w:r>
        <w:rPr>
          <w:rFonts w:hint="eastAsia" w:ascii="宋体" w:hAnsi="宋体" w:cs="宋体"/>
          <w:b w:val="0"/>
          <w:bCs/>
          <w:snapToGrid w:val="0"/>
          <w:color w:val="auto"/>
          <w:kern w:val="0"/>
          <w:szCs w:val="21"/>
          <w:highlight w:val="none"/>
          <w:u w:val="single"/>
          <w:lang w:val="en-US" w:eastAsia="zh-CN"/>
        </w:rPr>
        <w:t>会议</w:t>
      </w:r>
      <w:r>
        <w:rPr>
          <w:rFonts w:hint="eastAsia" w:ascii="宋体" w:hAnsi="宋体" w:cs="宋体"/>
          <w:b w:val="0"/>
          <w:bCs/>
          <w:snapToGrid w:val="0"/>
          <w:color w:val="auto"/>
          <w:kern w:val="0"/>
          <w:szCs w:val="21"/>
          <w:highlight w:val="none"/>
        </w:rPr>
        <w:t>批准建设，项目业主为</w:t>
      </w:r>
      <w:r>
        <w:rPr>
          <w:rFonts w:hint="eastAsia" w:ascii="宋体" w:hAnsi="宋体" w:cs="宋体"/>
          <w:b w:val="0"/>
          <w:bCs/>
          <w:snapToGrid w:val="0"/>
          <w:color w:val="auto"/>
          <w:kern w:val="0"/>
          <w:szCs w:val="21"/>
          <w:highlight w:val="none"/>
          <w:u w:val="single"/>
        </w:rPr>
        <w:t>重庆三航新材料技术研究院有限公司</w:t>
      </w:r>
      <w:r>
        <w:rPr>
          <w:rFonts w:hint="eastAsia" w:ascii="宋体" w:hAnsi="宋体" w:cs="宋体"/>
          <w:b w:val="0"/>
          <w:bCs/>
          <w:snapToGrid w:val="0"/>
          <w:color w:val="auto"/>
          <w:kern w:val="0"/>
          <w:szCs w:val="21"/>
          <w:highlight w:val="none"/>
        </w:rPr>
        <w:t>，招标项目资金来自</w:t>
      </w:r>
      <w:r>
        <w:rPr>
          <w:rFonts w:hint="eastAsia" w:ascii="宋体" w:hAnsi="宋体" w:cs="宋体"/>
          <w:b w:val="0"/>
          <w:bCs/>
          <w:snapToGrid w:val="0"/>
          <w:color w:val="auto"/>
          <w:kern w:val="0"/>
          <w:szCs w:val="21"/>
          <w:highlight w:val="none"/>
          <w:u w:val="single"/>
        </w:rPr>
        <w:t>业主自筹资金</w:t>
      </w:r>
      <w:r>
        <w:rPr>
          <w:rFonts w:hint="eastAsia" w:ascii="宋体" w:hAnsi="宋体" w:cs="宋体"/>
          <w:b w:val="0"/>
          <w:bCs/>
          <w:snapToGrid w:val="0"/>
          <w:color w:val="auto"/>
          <w:kern w:val="0"/>
          <w:szCs w:val="21"/>
          <w:highlight w:val="none"/>
        </w:rPr>
        <w:t>，项目出资比例为</w:t>
      </w:r>
      <w:r>
        <w:rPr>
          <w:rFonts w:hint="eastAsia" w:ascii="宋体" w:hAnsi="宋体" w:cs="宋体"/>
          <w:b w:val="0"/>
          <w:bCs/>
          <w:snapToGrid w:val="0"/>
          <w:color w:val="auto"/>
          <w:kern w:val="0"/>
          <w:szCs w:val="21"/>
          <w:highlight w:val="none"/>
          <w:u w:val="single"/>
        </w:rPr>
        <w:t>100%</w:t>
      </w:r>
      <w:r>
        <w:rPr>
          <w:rFonts w:hint="eastAsia" w:ascii="宋体" w:hAnsi="宋体" w:cs="宋体"/>
          <w:b w:val="0"/>
          <w:bCs/>
          <w:snapToGrid w:val="0"/>
          <w:color w:val="auto"/>
          <w:kern w:val="0"/>
          <w:szCs w:val="21"/>
          <w:highlight w:val="none"/>
        </w:rPr>
        <w:t>，招标人为</w:t>
      </w:r>
      <w:r>
        <w:rPr>
          <w:rFonts w:hint="eastAsia" w:ascii="宋体" w:hAnsi="宋体" w:cs="宋体"/>
          <w:b w:val="0"/>
          <w:bCs/>
          <w:snapToGrid w:val="0"/>
          <w:color w:val="auto"/>
          <w:kern w:val="0"/>
          <w:szCs w:val="21"/>
          <w:highlight w:val="none"/>
          <w:u w:val="single"/>
        </w:rPr>
        <w:t>重庆三航新材料技术研究院有限公司</w:t>
      </w:r>
      <w:r>
        <w:rPr>
          <w:rFonts w:hint="eastAsia" w:ascii="宋体" w:hAnsi="宋体" w:cs="宋体"/>
          <w:b w:val="0"/>
          <w:bCs/>
          <w:snapToGrid w:val="0"/>
          <w:color w:val="auto"/>
          <w:kern w:val="0"/>
          <w:szCs w:val="21"/>
          <w:highlight w:val="none"/>
        </w:rPr>
        <w:t>。</w:t>
      </w:r>
      <w:r>
        <w:rPr>
          <w:rFonts w:hint="eastAsia" w:ascii="宋体" w:hAnsi="宋体" w:cs="宋体"/>
          <w:b w:val="0"/>
          <w:bCs/>
          <w:snapToGrid w:val="0"/>
          <w:color w:val="auto"/>
          <w:kern w:val="0"/>
          <w:position w:val="-2"/>
          <w:szCs w:val="21"/>
          <w:highlight w:val="none"/>
        </w:rPr>
        <w:t>项目已具备招标条件，现对</w:t>
      </w:r>
      <w:r>
        <w:rPr>
          <w:rFonts w:hint="eastAsia" w:ascii="宋体" w:hAnsi="宋体" w:cs="宋体"/>
          <w:b w:val="0"/>
          <w:bCs/>
          <w:snapToGrid w:val="0"/>
          <w:color w:val="auto"/>
          <w:kern w:val="0"/>
          <w:position w:val="-2"/>
          <w:szCs w:val="21"/>
          <w:highlight w:val="none"/>
          <w:u w:val="single"/>
        </w:rPr>
        <w:t>该项目的钛及钛合金电极块压制机组(45MN)；1000kg真空自耗电弧炉、300kg真空自耗电弧炉；冷坩埚悬浮熔炼炉(Fe50kg)</w:t>
      </w:r>
      <w:r>
        <w:rPr>
          <w:rFonts w:hint="eastAsia" w:ascii="宋体" w:hAnsi="宋体" w:cs="宋体"/>
          <w:b w:val="0"/>
          <w:bCs/>
          <w:snapToGrid w:val="0"/>
          <w:color w:val="auto"/>
          <w:kern w:val="0"/>
          <w:position w:val="-2"/>
          <w:szCs w:val="21"/>
          <w:highlight w:val="none"/>
        </w:rPr>
        <w:t>采购进行公开招标，评标办法采用综合评估法。</w:t>
      </w:r>
    </w:p>
    <w:p w14:paraId="7F033C7C">
      <w:pPr>
        <w:pStyle w:val="4"/>
        <w:spacing w:before="100" w:after="100" w:line="460" w:lineRule="exact"/>
        <w:rPr>
          <w:rFonts w:hint="eastAsia" w:ascii="宋体" w:hAnsi="宋体" w:cs="宋体"/>
          <w:b w:val="0"/>
          <w:bCs/>
          <w:snapToGrid w:val="0"/>
          <w:color w:val="auto"/>
          <w:sz w:val="28"/>
          <w:szCs w:val="28"/>
          <w:highlight w:val="none"/>
        </w:rPr>
      </w:pPr>
      <w:bookmarkStart w:id="26" w:name="_Toc287620668"/>
      <w:bookmarkStart w:id="27" w:name="_Toc430530417"/>
      <w:bookmarkStart w:id="28" w:name="_Toc20755"/>
      <w:bookmarkStart w:id="29" w:name="_Toc200359428"/>
      <w:bookmarkStart w:id="30" w:name="_Toc224103300"/>
      <w:bookmarkStart w:id="31" w:name="_Toc200359239"/>
      <w:bookmarkStart w:id="32" w:name="_Toc287607729"/>
      <w:bookmarkStart w:id="33" w:name="_Toc277082537"/>
      <w:bookmarkStart w:id="34" w:name="_Toc509218693"/>
      <w:r>
        <w:rPr>
          <w:rFonts w:hint="eastAsia" w:ascii="宋体" w:hAnsi="宋体" w:cs="宋体"/>
          <w:b w:val="0"/>
          <w:bCs/>
          <w:snapToGrid w:val="0"/>
          <w:color w:val="auto"/>
          <w:sz w:val="28"/>
          <w:szCs w:val="28"/>
          <w:highlight w:val="none"/>
        </w:rPr>
        <w:t>2.  项目概况与招标范围</w:t>
      </w:r>
      <w:bookmarkEnd w:id="26"/>
      <w:bookmarkEnd w:id="27"/>
      <w:bookmarkEnd w:id="28"/>
      <w:bookmarkEnd w:id="29"/>
      <w:bookmarkEnd w:id="30"/>
      <w:bookmarkEnd w:id="31"/>
      <w:bookmarkEnd w:id="32"/>
      <w:bookmarkEnd w:id="33"/>
      <w:bookmarkEnd w:id="34"/>
    </w:p>
    <w:p w14:paraId="7F033C7D">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2.1 建设地点：</w:t>
      </w:r>
      <w:r>
        <w:rPr>
          <w:rFonts w:hint="eastAsia" w:ascii="宋体" w:hAnsi="宋体" w:cs="宋体"/>
          <w:b w:val="0"/>
          <w:bCs/>
          <w:snapToGrid w:val="0"/>
          <w:color w:val="auto"/>
          <w:kern w:val="0"/>
          <w:szCs w:val="21"/>
          <w:highlight w:val="none"/>
          <w:u w:val="single"/>
        </w:rPr>
        <w:t>四川省泸州市</w:t>
      </w:r>
    </w:p>
    <w:p w14:paraId="7F033C7E">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2.2 项目概况与建设规模：</w:t>
      </w:r>
    </w:p>
    <w:p w14:paraId="7F033C7F">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2.2.1重庆三航新材料技术研究院有限公司泸州项目设备一标段：采购1台钛及钛合金电极块压制机组(45MN)；</w:t>
      </w:r>
    </w:p>
    <w:p w14:paraId="7F033C80">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2.2.2重庆三航新材料技术研究院有限公司泸州项目设备二标段：采购1台1000kg真空自耗电弧炉；</w:t>
      </w:r>
    </w:p>
    <w:p w14:paraId="7F033C81">
      <w:pPr>
        <w:tabs>
          <w:tab w:val="left" w:pos="3840"/>
          <w:tab w:val="left" w:pos="5300"/>
        </w:tabs>
        <w:autoSpaceDE w:val="0"/>
        <w:autoSpaceDN w:val="0"/>
        <w:adjustRightInd w:val="0"/>
        <w:snapToGrid w:val="0"/>
        <w:spacing w:line="460" w:lineRule="exact"/>
        <w:ind w:firstLine="6510" w:firstLineChars="31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采购2台300kg真空自耗电弧炉；</w:t>
      </w:r>
    </w:p>
    <w:p w14:paraId="7F033C82">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2.2.3重庆三航新材料技术研究院有限公司泸州项目设备三标段：采购1台冷坩埚悬浮熔炼炉(Fe50kg)。</w:t>
      </w:r>
    </w:p>
    <w:p w14:paraId="7F033C83">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2.3 本次招标项目货物采购估算金额：</w:t>
      </w:r>
      <w:r>
        <w:rPr>
          <w:rFonts w:hint="eastAsia" w:ascii="宋体" w:hAnsi="宋体" w:cs="宋体"/>
          <w:b w:val="0"/>
          <w:bCs/>
          <w:snapToGrid w:val="0"/>
          <w:color w:val="auto"/>
          <w:kern w:val="0"/>
          <w:szCs w:val="21"/>
          <w:highlight w:val="none"/>
          <w:u w:val="single"/>
        </w:rPr>
        <w:t>约</w:t>
      </w:r>
      <w:r>
        <w:rPr>
          <w:rFonts w:hint="eastAsia" w:ascii="宋体" w:hAnsi="宋体" w:cs="宋体"/>
          <w:b w:val="0"/>
          <w:bCs/>
          <w:snapToGrid w:val="0"/>
          <w:color w:val="auto"/>
          <w:kern w:val="0"/>
          <w:szCs w:val="21"/>
          <w:highlight w:val="none"/>
          <w:u w:val="single"/>
          <w:lang w:val="en-US" w:eastAsia="zh-CN"/>
        </w:rPr>
        <w:t>1420</w:t>
      </w:r>
      <w:r>
        <w:rPr>
          <w:rFonts w:hint="eastAsia" w:ascii="宋体" w:hAnsi="宋体" w:cs="宋体"/>
          <w:b w:val="0"/>
          <w:bCs/>
          <w:snapToGrid w:val="0"/>
          <w:color w:val="auto"/>
          <w:kern w:val="0"/>
          <w:szCs w:val="21"/>
          <w:highlight w:val="none"/>
          <w:u w:val="single"/>
        </w:rPr>
        <w:t>万元。</w:t>
      </w:r>
    </w:p>
    <w:p w14:paraId="7F033C84">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2.3.1重庆三航新材料技术研究院有限公司泸州项目设备一标段：钛及钛合金电极块压制机组(45MN)约</w:t>
      </w:r>
      <w:r>
        <w:rPr>
          <w:rFonts w:hint="eastAsia" w:ascii="宋体" w:hAnsi="宋体" w:cs="宋体"/>
          <w:b w:val="0"/>
          <w:bCs/>
          <w:snapToGrid w:val="0"/>
          <w:color w:val="auto"/>
          <w:kern w:val="0"/>
          <w:szCs w:val="21"/>
          <w:highlight w:val="none"/>
          <w:u w:val="single"/>
          <w:lang w:val="en-US" w:eastAsia="zh-CN"/>
        </w:rPr>
        <w:t>32</w:t>
      </w:r>
      <w:r>
        <w:rPr>
          <w:rFonts w:hint="eastAsia" w:ascii="宋体" w:hAnsi="宋体" w:cs="宋体"/>
          <w:b w:val="0"/>
          <w:bCs/>
          <w:snapToGrid w:val="0"/>
          <w:color w:val="auto"/>
          <w:kern w:val="0"/>
          <w:szCs w:val="21"/>
          <w:highlight w:val="none"/>
          <w:u w:val="single"/>
        </w:rPr>
        <w:t>0万元。</w:t>
      </w:r>
    </w:p>
    <w:p w14:paraId="7F033C85">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eastAsia="宋体" w:cs="宋体"/>
          <w:b w:val="0"/>
          <w:bCs/>
          <w:snapToGrid w:val="0"/>
          <w:color w:val="auto"/>
          <w:kern w:val="0"/>
          <w:szCs w:val="21"/>
          <w:highlight w:val="none"/>
          <w:u w:val="single"/>
          <w:lang w:eastAsia="zh-CN"/>
        </w:rPr>
      </w:pPr>
      <w:r>
        <w:rPr>
          <w:rFonts w:hint="eastAsia" w:ascii="宋体" w:hAnsi="宋体" w:cs="宋体"/>
          <w:b w:val="0"/>
          <w:bCs/>
          <w:snapToGrid w:val="0"/>
          <w:color w:val="auto"/>
          <w:kern w:val="0"/>
          <w:szCs w:val="21"/>
          <w:highlight w:val="none"/>
          <w:u w:val="single"/>
        </w:rPr>
        <w:t>2.3.2重庆三航新材料技术研究院有限公司泸州项目设备二标段：1000kg真空自耗电弧炉约</w:t>
      </w:r>
      <w:r>
        <w:rPr>
          <w:rFonts w:hint="eastAsia" w:ascii="宋体" w:hAnsi="宋体" w:cs="宋体"/>
          <w:b w:val="0"/>
          <w:bCs/>
          <w:snapToGrid w:val="0"/>
          <w:color w:val="auto"/>
          <w:kern w:val="0"/>
          <w:szCs w:val="21"/>
          <w:highlight w:val="none"/>
          <w:u w:val="single"/>
          <w:lang w:val="en-US" w:eastAsia="zh-CN"/>
        </w:rPr>
        <w:t>45</w:t>
      </w:r>
      <w:r>
        <w:rPr>
          <w:rFonts w:hint="eastAsia" w:ascii="宋体" w:hAnsi="宋体" w:cs="宋体"/>
          <w:b w:val="0"/>
          <w:bCs/>
          <w:snapToGrid w:val="0"/>
          <w:color w:val="auto"/>
          <w:kern w:val="0"/>
          <w:szCs w:val="21"/>
          <w:highlight w:val="none"/>
          <w:u w:val="single"/>
        </w:rPr>
        <w:t>0万元（1台）；300kg真空自耗电弧炉约</w:t>
      </w:r>
      <w:r>
        <w:rPr>
          <w:rFonts w:hint="eastAsia" w:ascii="宋体" w:hAnsi="宋体" w:cs="宋体"/>
          <w:b w:val="0"/>
          <w:bCs/>
          <w:snapToGrid w:val="0"/>
          <w:color w:val="auto"/>
          <w:kern w:val="0"/>
          <w:szCs w:val="21"/>
          <w:highlight w:val="none"/>
          <w:u w:val="single"/>
          <w:lang w:val="en-US" w:eastAsia="zh-CN"/>
        </w:rPr>
        <w:t>42</w:t>
      </w:r>
      <w:r>
        <w:rPr>
          <w:rFonts w:hint="eastAsia" w:ascii="宋体" w:hAnsi="宋体" w:cs="宋体"/>
          <w:b w:val="0"/>
          <w:bCs/>
          <w:snapToGrid w:val="0"/>
          <w:color w:val="auto"/>
          <w:kern w:val="0"/>
          <w:szCs w:val="21"/>
          <w:highlight w:val="none"/>
          <w:u w:val="single"/>
        </w:rPr>
        <w:t>0万元（</w:t>
      </w:r>
      <w:r>
        <w:rPr>
          <w:rFonts w:hint="eastAsia" w:ascii="宋体" w:hAnsi="宋体" w:cs="宋体"/>
          <w:b w:val="0"/>
          <w:bCs/>
          <w:snapToGrid w:val="0"/>
          <w:color w:val="auto"/>
          <w:kern w:val="0"/>
          <w:szCs w:val="21"/>
          <w:highlight w:val="none"/>
          <w:u w:val="single"/>
          <w:lang w:val="en-US" w:eastAsia="zh-CN"/>
        </w:rPr>
        <w:t>21</w:t>
      </w:r>
      <w:r>
        <w:rPr>
          <w:rFonts w:hint="eastAsia" w:ascii="宋体" w:hAnsi="宋体" w:cs="宋体"/>
          <w:b w:val="0"/>
          <w:bCs/>
          <w:snapToGrid w:val="0"/>
          <w:color w:val="auto"/>
          <w:kern w:val="0"/>
          <w:szCs w:val="21"/>
          <w:highlight w:val="none"/>
          <w:u w:val="single"/>
        </w:rPr>
        <w:t>0</w:t>
      </w:r>
      <w:r>
        <w:rPr>
          <w:rFonts w:hint="eastAsia" w:ascii="宋体" w:hAnsi="宋体" w:cs="宋体"/>
          <w:b w:val="0"/>
          <w:bCs/>
          <w:snapToGrid w:val="0"/>
          <w:color w:val="auto"/>
          <w:kern w:val="0"/>
          <w:szCs w:val="21"/>
          <w:highlight w:val="none"/>
          <w:u w:val="single"/>
          <w:lang w:eastAsia="zh-CN"/>
        </w:rPr>
        <w:t>万元</w:t>
      </w:r>
      <w:r>
        <w:rPr>
          <w:rFonts w:hint="eastAsia" w:ascii="宋体" w:hAnsi="宋体" w:cs="宋体"/>
          <w:b w:val="0"/>
          <w:bCs/>
          <w:snapToGrid w:val="0"/>
          <w:color w:val="auto"/>
          <w:kern w:val="0"/>
          <w:szCs w:val="21"/>
          <w:highlight w:val="none"/>
          <w:u w:val="single"/>
        </w:rPr>
        <w:t>/台，共2台）；合计</w:t>
      </w:r>
      <w:r>
        <w:rPr>
          <w:rFonts w:hint="eastAsia" w:ascii="宋体" w:hAnsi="宋体" w:cs="宋体"/>
          <w:b w:val="0"/>
          <w:bCs/>
          <w:snapToGrid w:val="0"/>
          <w:color w:val="auto"/>
          <w:kern w:val="0"/>
          <w:szCs w:val="21"/>
          <w:highlight w:val="none"/>
          <w:u w:val="single"/>
          <w:lang w:val="en-US" w:eastAsia="zh-CN"/>
        </w:rPr>
        <w:t>870</w:t>
      </w:r>
      <w:r>
        <w:rPr>
          <w:rFonts w:hint="eastAsia" w:ascii="宋体" w:hAnsi="宋体" w:cs="宋体"/>
          <w:b w:val="0"/>
          <w:bCs/>
          <w:snapToGrid w:val="0"/>
          <w:color w:val="auto"/>
          <w:kern w:val="0"/>
          <w:szCs w:val="21"/>
          <w:highlight w:val="none"/>
          <w:u w:val="single"/>
        </w:rPr>
        <w:t>万元</w:t>
      </w:r>
      <w:r>
        <w:rPr>
          <w:rFonts w:hint="eastAsia" w:ascii="宋体" w:hAnsi="宋体" w:cs="宋体"/>
          <w:b w:val="0"/>
          <w:bCs/>
          <w:snapToGrid w:val="0"/>
          <w:color w:val="auto"/>
          <w:kern w:val="0"/>
          <w:szCs w:val="21"/>
          <w:highlight w:val="none"/>
          <w:u w:val="single"/>
          <w:lang w:eastAsia="zh-CN"/>
        </w:rPr>
        <w:t>。</w:t>
      </w:r>
    </w:p>
    <w:p w14:paraId="7F033C86">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u w:val="single"/>
        </w:rPr>
        <w:t>2.3.3重庆三航新材料技术研究院有限公司泸州项目设备三标段：冷坩埚悬浮熔炼炉(Fe50kg)约2</w:t>
      </w:r>
      <w:r>
        <w:rPr>
          <w:rFonts w:hint="eastAsia" w:ascii="宋体" w:hAnsi="宋体" w:cs="宋体"/>
          <w:b w:val="0"/>
          <w:bCs/>
          <w:snapToGrid w:val="0"/>
          <w:color w:val="auto"/>
          <w:kern w:val="0"/>
          <w:szCs w:val="21"/>
          <w:highlight w:val="none"/>
          <w:u w:val="single"/>
          <w:lang w:val="en-US" w:eastAsia="zh-CN"/>
        </w:rPr>
        <w:t>30</w:t>
      </w:r>
      <w:r>
        <w:rPr>
          <w:rFonts w:hint="eastAsia" w:ascii="宋体" w:hAnsi="宋体" w:cs="宋体"/>
          <w:b w:val="0"/>
          <w:bCs/>
          <w:snapToGrid w:val="0"/>
          <w:color w:val="auto"/>
          <w:kern w:val="0"/>
          <w:szCs w:val="21"/>
          <w:highlight w:val="none"/>
          <w:u w:val="single"/>
        </w:rPr>
        <w:t>万元。</w:t>
      </w:r>
    </w:p>
    <w:p w14:paraId="7F033C87">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2.4 招标范围：</w:t>
      </w:r>
      <w:r>
        <w:rPr>
          <w:rFonts w:hint="eastAsia" w:ascii="宋体" w:hAnsi="宋体" w:cs="宋体"/>
          <w:b w:val="0"/>
          <w:bCs/>
          <w:snapToGrid w:val="0"/>
          <w:color w:val="auto"/>
          <w:kern w:val="0"/>
          <w:szCs w:val="21"/>
          <w:highlight w:val="none"/>
          <w:u w:val="single"/>
        </w:rPr>
        <w:t>包含所采购设备设计、制造、部装成套、总装、运输、吊装、调试、试验、验收等交钥匙及售后服务全过程（具体要求详见第五章供货要求）</w:t>
      </w:r>
    </w:p>
    <w:p w14:paraId="7F033C88">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2.5 交货地点：设备满足预验收条件后，</w:t>
      </w:r>
      <w:r>
        <w:rPr>
          <w:rFonts w:hint="eastAsia" w:ascii="宋体" w:hAnsi="宋体" w:cs="宋体"/>
          <w:b w:val="0"/>
          <w:bCs/>
          <w:snapToGrid w:val="0"/>
          <w:color w:val="auto"/>
          <w:kern w:val="0"/>
          <w:szCs w:val="21"/>
          <w:highlight w:val="none"/>
          <w:u w:val="single"/>
        </w:rPr>
        <w:t>中标人通知招标人在中标人现场进行预验收。预验收符合要求后中标人向招标人发货。最终验收在招标人现场，双方按照最终验收要求实施验收。（具体要求详见第五章供货要求）</w:t>
      </w:r>
    </w:p>
    <w:p w14:paraId="7F033C89">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2.6 </w:t>
      </w:r>
      <w:bookmarkStart w:id="35" w:name="_Hlk64626254"/>
      <w:r>
        <w:rPr>
          <w:rFonts w:hint="eastAsia" w:ascii="宋体" w:hAnsi="宋体" w:cs="宋体"/>
          <w:b w:val="0"/>
          <w:bCs/>
          <w:snapToGrid w:val="0"/>
          <w:color w:val="auto"/>
          <w:kern w:val="0"/>
          <w:szCs w:val="21"/>
          <w:highlight w:val="none"/>
        </w:rPr>
        <w:t>交货期：</w:t>
      </w:r>
      <w:r>
        <w:rPr>
          <w:rFonts w:hint="eastAsia" w:ascii="宋体" w:hAnsi="宋体" w:cs="宋体"/>
          <w:b w:val="0"/>
          <w:bCs/>
          <w:snapToGrid w:val="0"/>
          <w:color w:val="auto"/>
          <w:kern w:val="0"/>
          <w:szCs w:val="21"/>
          <w:highlight w:val="none"/>
          <w:u w:val="single"/>
        </w:rPr>
        <w:t xml:space="preserve"> 180日历天</w:t>
      </w:r>
      <w:r>
        <w:rPr>
          <w:rFonts w:hint="eastAsia" w:ascii="宋体" w:hAnsi="宋体" w:cs="宋体"/>
          <w:b w:val="0"/>
          <w:bCs/>
          <w:snapToGrid w:val="0"/>
          <w:color w:val="auto"/>
          <w:kern w:val="0"/>
          <w:szCs w:val="21"/>
          <w:highlight w:val="none"/>
          <w:u w:val="none"/>
          <w:lang w:eastAsia="zh-CN"/>
        </w:rPr>
        <w:t>，</w:t>
      </w:r>
      <w:r>
        <w:rPr>
          <w:rFonts w:hint="eastAsia" w:ascii="宋体" w:hAnsi="宋体" w:cs="宋体"/>
          <w:b w:val="0"/>
          <w:bCs/>
          <w:color w:val="auto"/>
          <w:highlight w:val="none"/>
        </w:rPr>
        <w:t>招标人在</w:t>
      </w:r>
      <w:r>
        <w:rPr>
          <w:rFonts w:hint="eastAsia" w:ascii="宋体" w:hAnsi="宋体" w:cs="宋体"/>
          <w:b w:val="0"/>
          <w:bCs/>
          <w:snapToGrid w:val="0"/>
          <w:color w:val="auto"/>
          <w:kern w:val="0"/>
          <w:szCs w:val="21"/>
          <w:highlight w:val="none"/>
          <w:u w:val="single"/>
        </w:rPr>
        <w:t>中标人现场完成预验后</w:t>
      </w:r>
      <w:r>
        <w:rPr>
          <w:rFonts w:hint="eastAsia" w:ascii="宋体" w:hAnsi="宋体" w:cs="宋体"/>
          <w:b w:val="0"/>
          <w:bCs/>
          <w:color w:val="auto"/>
          <w:highlight w:val="none"/>
        </w:rPr>
        <w:t>由中标人</w:t>
      </w:r>
      <w:r>
        <w:rPr>
          <w:rFonts w:hint="eastAsia" w:ascii="宋体" w:hAnsi="宋体" w:cs="宋体"/>
          <w:b w:val="0"/>
          <w:bCs/>
          <w:snapToGrid w:val="0"/>
          <w:color w:val="auto"/>
          <w:kern w:val="0"/>
          <w:szCs w:val="21"/>
          <w:highlight w:val="none"/>
          <w:u w:val="single"/>
        </w:rPr>
        <w:t>收发货；招标人收货后</w:t>
      </w:r>
      <w:r>
        <w:rPr>
          <w:rFonts w:hint="eastAsia" w:ascii="宋体" w:hAnsi="宋体" w:cs="宋体"/>
          <w:b w:val="0"/>
          <w:bCs/>
          <w:snapToGrid w:val="0"/>
          <w:color w:val="auto"/>
          <w:kern w:val="0"/>
          <w:szCs w:val="21"/>
          <w:highlight w:val="none"/>
          <w:u w:val="single"/>
          <w:lang w:val="en-US" w:eastAsia="zh-CN"/>
        </w:rPr>
        <w:t>12</w:t>
      </w:r>
      <w:r>
        <w:rPr>
          <w:rFonts w:hint="eastAsia" w:ascii="宋体" w:hAnsi="宋体" w:cs="宋体"/>
          <w:b w:val="0"/>
          <w:bCs/>
          <w:snapToGrid w:val="0"/>
          <w:color w:val="auto"/>
          <w:kern w:val="0"/>
          <w:szCs w:val="21"/>
          <w:highlight w:val="none"/>
          <w:u w:val="single"/>
        </w:rPr>
        <w:t>0日历天双方完成最终验收。</w:t>
      </w:r>
    </w:p>
    <w:bookmarkEnd w:id="35"/>
    <w:p w14:paraId="7F033C8A">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2.7 标段划分：</w:t>
      </w:r>
      <w:r>
        <w:rPr>
          <w:rFonts w:hint="eastAsia" w:ascii="宋体" w:hAnsi="宋体" w:cs="宋体"/>
          <w:b w:val="0"/>
          <w:bCs/>
          <w:snapToGrid w:val="0"/>
          <w:color w:val="auto"/>
          <w:kern w:val="0"/>
          <w:szCs w:val="21"/>
          <w:highlight w:val="none"/>
          <w:u w:val="single"/>
        </w:rPr>
        <w:t>本次招标共划分为三个标段，各潜在投标人可对本项目一个或多个标段进行投标，也可中多个标段。</w:t>
      </w:r>
    </w:p>
    <w:p w14:paraId="7F033C8B">
      <w:pPr>
        <w:pStyle w:val="4"/>
        <w:spacing w:before="100" w:after="100" w:line="460" w:lineRule="exact"/>
        <w:rPr>
          <w:rFonts w:hint="eastAsia" w:ascii="宋体" w:hAnsi="宋体" w:cs="宋体"/>
          <w:b w:val="0"/>
          <w:bCs/>
          <w:snapToGrid w:val="0"/>
          <w:color w:val="auto"/>
          <w:sz w:val="28"/>
          <w:szCs w:val="28"/>
          <w:highlight w:val="none"/>
        </w:rPr>
      </w:pPr>
      <w:bookmarkStart w:id="36" w:name="_Toc224103301"/>
      <w:bookmarkStart w:id="37" w:name="_Toc12274"/>
      <w:bookmarkStart w:id="38" w:name="_Toc287607730"/>
      <w:bookmarkStart w:id="39" w:name="_Toc430530418"/>
      <w:bookmarkStart w:id="40" w:name="_Toc287620669"/>
      <w:bookmarkStart w:id="41" w:name="_Toc200359429"/>
      <w:bookmarkStart w:id="42" w:name="_Toc200359240"/>
      <w:bookmarkStart w:id="43" w:name="_Toc277082538"/>
      <w:bookmarkStart w:id="44" w:name="_Toc509218694"/>
      <w:r>
        <w:rPr>
          <w:rFonts w:hint="eastAsia" w:ascii="宋体" w:hAnsi="宋体" w:cs="宋体"/>
          <w:b w:val="0"/>
          <w:bCs/>
          <w:snapToGrid w:val="0"/>
          <w:color w:val="auto"/>
          <w:sz w:val="28"/>
          <w:szCs w:val="28"/>
          <w:highlight w:val="none"/>
        </w:rPr>
        <w:t>3.  投标人资格要求</w:t>
      </w:r>
      <w:bookmarkEnd w:id="36"/>
      <w:bookmarkEnd w:id="37"/>
      <w:bookmarkEnd w:id="38"/>
      <w:bookmarkEnd w:id="39"/>
      <w:bookmarkEnd w:id="40"/>
      <w:bookmarkEnd w:id="41"/>
      <w:bookmarkEnd w:id="42"/>
      <w:bookmarkEnd w:id="43"/>
      <w:bookmarkEnd w:id="44"/>
    </w:p>
    <w:p w14:paraId="7F033C8C">
      <w:pPr>
        <w:autoSpaceDE w:val="0"/>
        <w:autoSpaceDN w:val="0"/>
        <w:adjustRightInd w:val="0"/>
        <w:snapToGrid w:val="0"/>
        <w:spacing w:before="48" w:beforeLines="20"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3.1  本次招标</w:t>
      </w:r>
      <w:r>
        <w:rPr>
          <w:rFonts w:hint="eastAsia" w:ascii="宋体" w:hAnsi="宋体" w:cs="宋体"/>
          <w:b w:val="0"/>
          <w:bCs/>
          <w:color w:val="auto"/>
          <w:szCs w:val="21"/>
          <w:highlight w:val="none"/>
        </w:rPr>
        <w:t>允许</w:t>
      </w:r>
      <w:r>
        <w:rPr>
          <w:rFonts w:hint="eastAsia" w:ascii="宋体" w:hAnsi="宋体" w:cs="宋体"/>
          <w:b w:val="0"/>
          <w:bCs/>
          <w:snapToGrid w:val="0"/>
          <w:color w:val="auto"/>
          <w:kern w:val="0"/>
          <w:szCs w:val="21"/>
          <w:highlight w:val="none"/>
        </w:rPr>
        <w:t>投标人以投标货物的下列身份参加投标：</w:t>
      </w:r>
    </w:p>
    <w:p w14:paraId="7F033C8D">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制造商</w:t>
      </w:r>
    </w:p>
    <w:p w14:paraId="7F033C8E">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代理商（包括经销商、制造商下属销售子公司）</w:t>
      </w:r>
    </w:p>
    <w:p w14:paraId="7F033C8F">
      <w:pPr>
        <w:autoSpaceDE w:val="0"/>
        <w:autoSpaceDN w:val="0"/>
        <w:adjustRightInd w:val="0"/>
        <w:snapToGrid w:val="0"/>
        <w:spacing w:line="400" w:lineRule="exact"/>
        <w:ind w:firstLine="420" w:firstLineChars="200"/>
        <w:rPr>
          <w:rFonts w:hint="eastAsia" w:ascii="宋体" w:hAnsi="宋体" w:cs="宋体"/>
          <w:b w:val="0"/>
          <w:bCs/>
          <w:iCs/>
          <w:color w:val="auto"/>
          <w:szCs w:val="21"/>
          <w:highlight w:val="none"/>
        </w:rPr>
      </w:pPr>
      <w:r>
        <w:rPr>
          <w:rFonts w:hint="eastAsia" w:ascii="宋体" w:hAnsi="宋体" w:cs="宋体"/>
          <w:b w:val="0"/>
          <w:bCs/>
          <w:snapToGrid w:val="0"/>
          <w:color w:val="auto"/>
          <w:kern w:val="0"/>
          <w:szCs w:val="21"/>
          <w:highlight w:val="none"/>
        </w:rPr>
        <w:t xml:space="preserve">3.1.1 </w:t>
      </w:r>
      <w:r>
        <w:rPr>
          <w:rFonts w:hint="eastAsia" w:ascii="宋体" w:hAnsi="宋体" w:cs="宋体"/>
          <w:b w:val="0"/>
          <w:bCs/>
          <w:iCs/>
          <w:color w:val="auto"/>
          <w:szCs w:val="21"/>
          <w:highlight w:val="none"/>
        </w:rPr>
        <w:t>投标人为制造商应符合以下要求：</w:t>
      </w:r>
    </w:p>
    <w:p w14:paraId="7F033C90">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（1）具备独立法人资格；</w:t>
      </w:r>
    </w:p>
    <w:p w14:paraId="7F033C92">
      <w:pPr>
        <w:autoSpaceDE w:val="0"/>
        <w:autoSpaceDN w:val="0"/>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snapToGrid w:val="0"/>
          <w:color w:val="auto"/>
          <w:kern w:val="0"/>
          <w:szCs w:val="21"/>
          <w:highlight w:val="none"/>
        </w:rPr>
        <w:t xml:space="preserve">3.1.2 </w:t>
      </w:r>
      <w:r>
        <w:rPr>
          <w:rFonts w:hint="eastAsia" w:ascii="宋体" w:hAnsi="宋体" w:cs="宋体"/>
          <w:b w:val="0"/>
          <w:bCs/>
          <w:iCs/>
          <w:color w:val="auto"/>
          <w:szCs w:val="21"/>
          <w:highlight w:val="none"/>
        </w:rPr>
        <w:t>投标人为代理商应符合以下要求：</w:t>
      </w:r>
    </w:p>
    <w:p w14:paraId="7F033C93">
      <w:pPr>
        <w:autoSpaceDE w:val="0"/>
        <w:autoSpaceDN w:val="0"/>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（1）具备独立法人资格；</w:t>
      </w:r>
    </w:p>
    <w:p w14:paraId="7F033C94">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snapToGrid w:val="0"/>
          <w:color w:val="auto"/>
          <w:kern w:val="0"/>
          <w:szCs w:val="21"/>
          <w:highlight w:val="none"/>
        </w:rPr>
        <w:t>投标货物制造商</w:t>
      </w:r>
      <w:r>
        <w:rPr>
          <w:rFonts w:hint="eastAsia" w:ascii="宋体" w:hAnsi="宋体" w:cs="宋体"/>
          <w:b w:val="0"/>
          <w:bCs/>
          <w:color w:val="auto"/>
          <w:szCs w:val="21"/>
          <w:highlight w:val="none"/>
        </w:rPr>
        <w:t>具备独立法人资格；</w:t>
      </w:r>
    </w:p>
    <w:p w14:paraId="7F033C95">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w:t>
      </w:r>
      <w:r>
        <w:rPr>
          <w:rFonts w:hint="eastAsia" w:ascii="宋体" w:hAnsi="宋体" w:cs="宋体"/>
          <w:b w:val="0"/>
          <w:bCs/>
          <w:snapToGrid w:val="0"/>
          <w:color w:val="auto"/>
          <w:kern w:val="0"/>
          <w:szCs w:val="21"/>
          <w:highlight w:val="none"/>
          <w:u w:val="single"/>
        </w:rPr>
        <w:t xml:space="preserve">钛及钛合金电极块压制机组(45MN)、1000kg真空自耗电弧炉、300kg真空自耗电弧炉、冷坩埚悬浮熔炼炉(Fe50kg) （根据所投标段提供对应制造商授权书） </w:t>
      </w:r>
      <w:r>
        <w:rPr>
          <w:rFonts w:hint="eastAsia" w:ascii="宋体" w:hAnsi="宋体" w:cs="宋体"/>
          <w:b w:val="0"/>
          <w:bCs/>
          <w:snapToGrid w:val="0"/>
          <w:color w:val="auto"/>
          <w:kern w:val="0"/>
          <w:szCs w:val="21"/>
          <w:highlight w:val="none"/>
        </w:rPr>
        <w:t>具有制造商授权书。</w:t>
      </w:r>
    </w:p>
    <w:p w14:paraId="7F033C96">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注：本招标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7F033C97">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3.2  投标人还应在业绩、资金、人员等方面具有相应的供货能力，详见招标文件第二章投标人须知前附表第1.4.1项内容。</w:t>
      </w:r>
    </w:p>
    <w:p w14:paraId="7F033C98">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3.3  本次招标不接受联合体投标。</w:t>
      </w:r>
    </w:p>
    <w:p w14:paraId="7F033C99">
      <w:pPr>
        <w:pStyle w:val="4"/>
        <w:spacing w:before="100" w:after="100" w:line="460" w:lineRule="exact"/>
        <w:rPr>
          <w:rFonts w:hint="eastAsia" w:ascii="宋体" w:hAnsi="宋体" w:cs="宋体"/>
          <w:b w:val="0"/>
          <w:bCs/>
          <w:snapToGrid w:val="0"/>
          <w:color w:val="auto"/>
          <w:sz w:val="28"/>
          <w:szCs w:val="28"/>
          <w:highlight w:val="none"/>
        </w:rPr>
      </w:pPr>
      <w:bookmarkStart w:id="45" w:name="_Toc224103302"/>
      <w:bookmarkStart w:id="46" w:name="_Toc32527"/>
      <w:bookmarkStart w:id="47" w:name="_Toc200359241"/>
      <w:bookmarkStart w:id="48" w:name="_Toc287607731"/>
      <w:bookmarkStart w:id="49" w:name="_Toc287620670"/>
      <w:bookmarkStart w:id="50" w:name="_Toc200359430"/>
      <w:bookmarkStart w:id="51" w:name="_Toc277082539"/>
      <w:bookmarkStart w:id="52" w:name="_Toc430530419"/>
      <w:bookmarkStart w:id="53" w:name="_Toc509218695"/>
      <w:r>
        <w:rPr>
          <w:rFonts w:hint="eastAsia" w:ascii="宋体" w:hAnsi="宋体" w:cs="宋体"/>
          <w:b w:val="0"/>
          <w:bCs/>
          <w:snapToGrid w:val="0"/>
          <w:color w:val="auto"/>
          <w:sz w:val="28"/>
          <w:szCs w:val="28"/>
          <w:highlight w:val="none"/>
        </w:rPr>
        <w:t>4.  招标文件的获取</w:t>
      </w:r>
      <w:bookmarkEnd w:id="45"/>
      <w:bookmarkEnd w:id="46"/>
      <w:bookmarkEnd w:id="47"/>
      <w:bookmarkEnd w:id="48"/>
      <w:bookmarkEnd w:id="49"/>
      <w:bookmarkEnd w:id="50"/>
      <w:bookmarkEnd w:id="51"/>
      <w:bookmarkEnd w:id="52"/>
      <w:bookmarkEnd w:id="53"/>
    </w:p>
    <w:p w14:paraId="7F033C9A">
      <w:pPr>
        <w:tabs>
          <w:tab w:val="left" w:pos="3850"/>
          <w:tab w:val="left" w:pos="3980"/>
          <w:tab w:val="left" w:pos="4100"/>
          <w:tab w:val="left" w:pos="4600"/>
          <w:tab w:val="left" w:pos="5360"/>
          <w:tab w:val="left" w:pos="5460"/>
          <w:tab w:val="left" w:pos="6200"/>
          <w:tab w:val="left" w:pos="6327"/>
          <w:tab w:val="left" w:pos="6901"/>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bookmarkStart w:id="54" w:name="_Toc200359242"/>
      <w:bookmarkStart w:id="55" w:name="_Toc277082540"/>
      <w:bookmarkStart w:id="56" w:name="_Toc287607732"/>
      <w:bookmarkStart w:id="57" w:name="_Toc224103303"/>
      <w:bookmarkStart w:id="58" w:name="_Toc200359431"/>
      <w:bookmarkStart w:id="59" w:name="_Toc287620671"/>
      <w:bookmarkStart w:id="60" w:name="_Toc430530420"/>
      <w:bookmarkStart w:id="61" w:name="_Toc509218696"/>
      <w:r>
        <w:rPr>
          <w:rFonts w:hint="eastAsia" w:ascii="宋体" w:hAnsi="宋体" w:cs="宋体"/>
          <w:b w:val="0"/>
          <w:bCs/>
          <w:snapToGrid w:val="0"/>
          <w:color w:val="auto"/>
          <w:kern w:val="0"/>
          <w:szCs w:val="21"/>
          <w:highlight w:val="none"/>
        </w:rPr>
        <w:t>4.1  凡有意参加投标者，请于</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 xml:space="preserve">2026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08</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07</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日（北京时间，下同）起在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snapToGrid w:val="0"/>
          <w:color w:val="auto"/>
          <w:kern w:val="0"/>
          <w:szCs w:val="21"/>
          <w:highlight w:val="none"/>
        </w:rPr>
        <w:t>下载招标文件、工程量清单、图纸、澄清、修改、补充通知、最高限价通知等全部内容。不管下载与否都视为潜在投标人全部知晓有关招投标过程和全部内容。</w:t>
      </w:r>
    </w:p>
    <w:p w14:paraId="5494761E">
      <w:pPr>
        <w:tabs>
          <w:tab w:val="left" w:pos="3850"/>
          <w:tab w:val="left" w:pos="3980"/>
          <w:tab w:val="left" w:pos="4100"/>
          <w:tab w:val="left" w:pos="4600"/>
          <w:tab w:val="left" w:pos="5360"/>
          <w:tab w:val="left" w:pos="5460"/>
          <w:tab w:val="left" w:pos="6200"/>
          <w:tab w:val="left" w:pos="6327"/>
          <w:tab w:val="left" w:pos="6901"/>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4.2  </w:t>
      </w:r>
      <w:r>
        <w:rPr>
          <w:rFonts w:hint="eastAsia" w:ascii="宋体" w:hAnsi="宋体" w:cs="宋体"/>
          <w:b w:val="0"/>
          <w:bCs/>
          <w:snapToGrid w:val="0"/>
          <w:color w:val="auto"/>
          <w:kern w:val="0"/>
          <w:szCs w:val="21"/>
          <w:highlight w:val="none"/>
          <w:lang w:val="en-US" w:eastAsia="zh-CN"/>
        </w:rPr>
        <w:t>各标段的招标</w:t>
      </w:r>
      <w:r>
        <w:rPr>
          <w:rFonts w:hint="eastAsia" w:ascii="宋体" w:hAnsi="宋体" w:cs="宋体"/>
          <w:b w:val="0"/>
          <w:bCs/>
          <w:snapToGrid w:val="0"/>
          <w:color w:val="auto"/>
          <w:kern w:val="0"/>
          <w:szCs w:val="21"/>
          <w:highlight w:val="none"/>
        </w:rPr>
        <w:t>文件</w:t>
      </w:r>
      <w:r>
        <w:rPr>
          <w:rFonts w:hint="eastAsia" w:ascii="宋体" w:hAnsi="宋体" w:cs="宋体"/>
          <w:b w:val="0"/>
          <w:bCs/>
          <w:snapToGrid w:val="0"/>
          <w:color w:val="auto"/>
          <w:kern w:val="0"/>
          <w:szCs w:val="21"/>
          <w:highlight w:val="none"/>
          <w:lang w:val="en-US" w:eastAsia="zh-CN"/>
        </w:rPr>
        <w:t>费</w:t>
      </w:r>
      <w:r>
        <w:rPr>
          <w:rFonts w:hint="eastAsia" w:ascii="宋体" w:hAnsi="宋体" w:cs="宋体"/>
          <w:b w:val="0"/>
          <w:bCs/>
          <w:snapToGrid w:val="0"/>
          <w:color w:val="auto"/>
          <w:kern w:val="0"/>
          <w:szCs w:val="21"/>
          <w:highlight w:val="none"/>
        </w:rPr>
        <w:t>售价</w:t>
      </w:r>
      <w:r>
        <w:rPr>
          <w:rFonts w:hint="eastAsia" w:ascii="宋体" w:hAnsi="宋体" w:cs="宋体"/>
          <w:b w:val="0"/>
          <w:bCs/>
          <w:snapToGrid w:val="0"/>
          <w:color w:val="auto"/>
          <w:kern w:val="0"/>
          <w:szCs w:val="21"/>
          <w:highlight w:val="none"/>
          <w:lang w:val="en-US" w:eastAsia="zh-CN"/>
        </w:rPr>
        <w:t>3</w:t>
      </w:r>
      <w:r>
        <w:rPr>
          <w:rFonts w:hint="eastAsia" w:ascii="宋体" w:hAnsi="宋体" w:cs="宋体"/>
          <w:b w:val="0"/>
          <w:bCs/>
          <w:snapToGrid w:val="0"/>
          <w:color w:val="auto"/>
          <w:kern w:val="0"/>
          <w:szCs w:val="21"/>
          <w:highlight w:val="none"/>
        </w:rPr>
        <w:t>00元/份，</w:t>
      </w:r>
      <w:r>
        <w:rPr>
          <w:rFonts w:hint="eastAsia" w:ascii="宋体" w:hAnsi="宋体" w:cs="宋体"/>
          <w:b w:val="0"/>
          <w:bCs/>
          <w:snapToGrid w:val="0"/>
          <w:color w:val="auto"/>
          <w:kern w:val="0"/>
          <w:szCs w:val="21"/>
          <w:highlight w:val="none"/>
          <w:lang w:val="en-US" w:eastAsia="zh-CN"/>
        </w:rPr>
        <w:t>投标人在</w:t>
      </w:r>
      <w:r>
        <w:rPr>
          <w:rFonts w:hint="eastAsia" w:ascii="宋体" w:hAnsi="宋体" w:cs="宋体"/>
          <w:b w:val="0"/>
          <w:bCs/>
          <w:snapToGrid w:val="0"/>
          <w:color w:val="auto"/>
          <w:kern w:val="0"/>
          <w:szCs w:val="21"/>
          <w:highlight w:val="none"/>
        </w:rPr>
        <w:t>递交</w:t>
      </w:r>
      <w:r>
        <w:rPr>
          <w:rFonts w:hint="eastAsia" w:ascii="宋体" w:hAnsi="宋体" w:cs="宋体"/>
          <w:b w:val="0"/>
          <w:bCs/>
          <w:snapToGrid w:val="0"/>
          <w:color w:val="auto"/>
          <w:kern w:val="0"/>
          <w:szCs w:val="21"/>
          <w:highlight w:val="none"/>
          <w:lang w:val="en-US" w:eastAsia="zh-CN"/>
        </w:rPr>
        <w:t>投标</w:t>
      </w:r>
      <w:r>
        <w:rPr>
          <w:rFonts w:hint="eastAsia" w:ascii="宋体" w:hAnsi="宋体" w:cs="宋体"/>
          <w:b w:val="0"/>
          <w:bCs/>
          <w:snapToGrid w:val="0"/>
          <w:color w:val="auto"/>
          <w:kern w:val="0"/>
          <w:szCs w:val="21"/>
          <w:highlight w:val="none"/>
        </w:rPr>
        <w:t>文件时缴纳，除招标项目取消、终止等招标人</w:t>
      </w:r>
      <w:r>
        <w:rPr>
          <w:rFonts w:hint="eastAsia" w:ascii="宋体" w:hAnsi="宋体" w:cs="宋体"/>
          <w:b w:val="0"/>
          <w:bCs/>
          <w:snapToGrid w:val="0"/>
          <w:color w:val="auto"/>
          <w:kern w:val="0"/>
          <w:szCs w:val="21"/>
          <w:highlight w:val="none"/>
          <w:lang w:val="en-US" w:eastAsia="zh-CN"/>
        </w:rPr>
        <w:t>或招标代理机构</w:t>
      </w:r>
      <w:r>
        <w:rPr>
          <w:rFonts w:hint="eastAsia" w:ascii="宋体" w:hAnsi="宋体" w:cs="宋体"/>
          <w:b w:val="0"/>
          <w:bCs/>
          <w:snapToGrid w:val="0"/>
          <w:color w:val="auto"/>
          <w:kern w:val="0"/>
          <w:szCs w:val="21"/>
          <w:highlight w:val="none"/>
        </w:rPr>
        <w:t>原因外，招标文件费用不予退还</w:t>
      </w:r>
      <w:r>
        <w:rPr>
          <w:rFonts w:hint="eastAsia" w:ascii="宋体" w:hAnsi="宋体" w:cs="宋体"/>
          <w:b w:val="0"/>
          <w:bCs/>
          <w:snapToGrid w:val="0"/>
          <w:color w:val="auto"/>
          <w:kern w:val="0"/>
          <w:szCs w:val="21"/>
          <w:highlight w:val="none"/>
          <w:lang w:eastAsia="zh-CN"/>
        </w:rPr>
        <w:t>，</w:t>
      </w:r>
      <w:r>
        <w:rPr>
          <w:rFonts w:hint="eastAsia" w:ascii="宋体" w:hAnsi="宋体" w:cs="宋体"/>
          <w:b w:val="0"/>
          <w:bCs/>
          <w:snapToGrid w:val="0"/>
          <w:color w:val="auto"/>
          <w:kern w:val="0"/>
          <w:szCs w:val="21"/>
          <w:highlight w:val="none"/>
          <w:lang w:val="en-US" w:eastAsia="zh-CN"/>
        </w:rPr>
        <w:t>若投标人未缴纳招标文件费，招标人或招标代理机构有权拒绝接收投标文件</w:t>
      </w:r>
      <w:r>
        <w:rPr>
          <w:rFonts w:hint="eastAsia" w:ascii="宋体" w:hAnsi="宋体" w:cs="宋体"/>
          <w:b w:val="0"/>
          <w:bCs/>
          <w:snapToGrid w:val="0"/>
          <w:color w:val="auto"/>
          <w:kern w:val="0"/>
          <w:szCs w:val="21"/>
          <w:highlight w:val="none"/>
        </w:rPr>
        <w:t>。</w:t>
      </w:r>
    </w:p>
    <w:p w14:paraId="7F033C9B">
      <w:pPr>
        <w:tabs>
          <w:tab w:val="left" w:pos="3850"/>
          <w:tab w:val="left" w:pos="3980"/>
          <w:tab w:val="left" w:pos="4100"/>
          <w:tab w:val="left" w:pos="4600"/>
          <w:tab w:val="left" w:pos="5360"/>
          <w:tab w:val="left" w:pos="5460"/>
          <w:tab w:val="left" w:pos="6200"/>
          <w:tab w:val="left" w:pos="6327"/>
          <w:tab w:val="left" w:pos="6901"/>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lang w:val="en-US" w:eastAsia="zh-CN"/>
        </w:rPr>
        <w:t xml:space="preserve">4.3  </w:t>
      </w:r>
      <w:r>
        <w:rPr>
          <w:rFonts w:hint="eastAsia" w:ascii="宋体" w:hAnsi="宋体" w:cs="宋体"/>
          <w:b w:val="0"/>
          <w:bCs/>
          <w:snapToGrid w:val="0"/>
          <w:color w:val="auto"/>
          <w:kern w:val="0"/>
          <w:szCs w:val="21"/>
          <w:highlight w:val="none"/>
        </w:rPr>
        <w:t>投标人可以书面形式提出疑问，提问时间从本公告发布至</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 xml:space="preserve">2026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 xml:space="preserve">08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13</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17</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zCs w:val="21"/>
          <w:highlight w:val="none"/>
        </w:rPr>
        <w:t>时</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00</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zCs w:val="21"/>
          <w:highlight w:val="none"/>
        </w:rPr>
        <w:t>分</w:t>
      </w:r>
      <w:r>
        <w:rPr>
          <w:rFonts w:hint="eastAsia" w:ascii="宋体" w:hAnsi="宋体" w:cs="宋体"/>
          <w:b w:val="0"/>
          <w:bCs/>
          <w:snapToGrid w:val="0"/>
          <w:color w:val="auto"/>
          <w:kern w:val="0"/>
          <w:szCs w:val="21"/>
          <w:highlight w:val="none"/>
        </w:rPr>
        <w:t>（北京时间）前。</w:t>
      </w:r>
    </w:p>
    <w:p w14:paraId="7F033C9C">
      <w:pPr>
        <w:tabs>
          <w:tab w:val="left" w:pos="3850"/>
          <w:tab w:val="left" w:pos="3980"/>
          <w:tab w:val="left" w:pos="4100"/>
          <w:tab w:val="left" w:pos="4600"/>
          <w:tab w:val="left" w:pos="5360"/>
          <w:tab w:val="left" w:pos="5460"/>
          <w:tab w:val="left" w:pos="6200"/>
          <w:tab w:val="left" w:pos="6327"/>
          <w:tab w:val="left" w:pos="6901"/>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w:t>
      </w:r>
      <w:r>
        <w:rPr>
          <w:rFonts w:hint="eastAsia" w:ascii="宋体" w:hAnsi="宋体" w:cs="宋体"/>
          <w:b w:val="0"/>
          <w:bCs/>
          <w:snapToGrid w:val="0"/>
          <w:color w:val="auto"/>
          <w:kern w:val="0"/>
          <w:szCs w:val="21"/>
          <w:highlight w:val="none"/>
          <w:lang w:val="en-US" w:eastAsia="zh-CN"/>
        </w:rPr>
        <w:t>4</w:t>
      </w:r>
      <w:r>
        <w:rPr>
          <w:rFonts w:hint="eastAsia" w:ascii="宋体" w:hAnsi="宋体" w:cs="宋体"/>
          <w:b w:val="0"/>
          <w:bCs/>
          <w:snapToGrid w:val="0"/>
          <w:color w:val="auto"/>
          <w:kern w:val="0"/>
          <w:szCs w:val="21"/>
          <w:highlight w:val="none"/>
        </w:rPr>
        <w:t xml:space="preserve">  招标人应于</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2026</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 xml:space="preserve">08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14</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17</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zCs w:val="21"/>
          <w:highlight w:val="none"/>
        </w:rPr>
        <w:t>时</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30</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zCs w:val="21"/>
          <w:highlight w:val="none"/>
        </w:rPr>
        <w:t>分</w:t>
      </w:r>
      <w:r>
        <w:rPr>
          <w:rFonts w:hint="eastAsia" w:ascii="宋体" w:hAnsi="宋体" w:cs="宋体"/>
          <w:b w:val="0"/>
          <w:bCs/>
          <w:snapToGrid w:val="0"/>
          <w:color w:val="auto"/>
          <w:kern w:val="0"/>
          <w:szCs w:val="21"/>
          <w:highlight w:val="none"/>
        </w:rPr>
        <w:t>（北京时间）前在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snapToGrid w:val="0"/>
          <w:color w:val="auto"/>
          <w:kern w:val="0"/>
          <w:szCs w:val="21"/>
          <w:highlight w:val="none"/>
        </w:rPr>
        <w:t>发布澄清或修改。</w:t>
      </w:r>
    </w:p>
    <w:p w14:paraId="7F033C9D">
      <w:pPr>
        <w:pStyle w:val="4"/>
        <w:spacing w:before="100" w:after="100" w:line="460" w:lineRule="exact"/>
        <w:rPr>
          <w:rFonts w:hint="eastAsia" w:ascii="宋体" w:hAnsi="宋体" w:cs="宋体"/>
          <w:b w:val="0"/>
          <w:bCs/>
          <w:snapToGrid w:val="0"/>
          <w:color w:val="auto"/>
          <w:sz w:val="28"/>
          <w:szCs w:val="28"/>
          <w:highlight w:val="none"/>
        </w:rPr>
      </w:pPr>
      <w:bookmarkStart w:id="62" w:name="_Toc21308"/>
      <w:r>
        <w:rPr>
          <w:rFonts w:hint="eastAsia" w:ascii="宋体" w:hAnsi="宋体" w:cs="宋体"/>
          <w:b w:val="0"/>
          <w:bCs/>
          <w:snapToGrid w:val="0"/>
          <w:color w:val="auto"/>
          <w:sz w:val="28"/>
          <w:szCs w:val="28"/>
          <w:highlight w:val="none"/>
        </w:rPr>
        <w:t>5.  投标文件的递交</w:t>
      </w:r>
      <w:bookmarkEnd w:id="54"/>
      <w:bookmarkEnd w:id="55"/>
      <w:bookmarkEnd w:id="56"/>
      <w:bookmarkEnd w:id="57"/>
      <w:bookmarkEnd w:id="58"/>
      <w:bookmarkEnd w:id="59"/>
      <w:bookmarkEnd w:id="60"/>
      <w:bookmarkEnd w:id="61"/>
      <w:bookmarkEnd w:id="62"/>
    </w:p>
    <w:p w14:paraId="7F033C9E">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bookmarkStart w:id="63" w:name="_Toc509218697"/>
      <w:bookmarkStart w:id="64" w:name="_Toc200359243"/>
      <w:bookmarkStart w:id="65" w:name="_Toc224103304"/>
      <w:bookmarkStart w:id="66" w:name="_Toc200359432"/>
      <w:bookmarkStart w:id="67" w:name="_Toc430530421"/>
      <w:bookmarkStart w:id="68" w:name="_Toc277082541"/>
      <w:bookmarkStart w:id="69" w:name="_Toc287620672"/>
      <w:bookmarkStart w:id="70" w:name="_Toc287607733"/>
      <w:r>
        <w:rPr>
          <w:rFonts w:hint="eastAsia" w:ascii="宋体" w:hAnsi="宋体" w:cs="宋体"/>
          <w:b w:val="0"/>
          <w:bCs/>
          <w:snapToGrid w:val="0"/>
          <w:color w:val="auto"/>
          <w:kern w:val="0"/>
          <w:szCs w:val="21"/>
          <w:highlight w:val="none"/>
        </w:rPr>
        <w:t>5.1  投标文件递交的截止时间（投标截止时间，下同）为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2026</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08</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31</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 xml:space="preserve">10 </w:t>
      </w:r>
      <w:r>
        <w:rPr>
          <w:rFonts w:hint="eastAsia" w:ascii="宋体" w:hAnsi="宋体" w:cs="宋体"/>
          <w:b w:val="0"/>
          <w:bCs/>
          <w:snapToGrid w:val="0"/>
          <w:color w:val="auto"/>
          <w:kern w:val="0"/>
          <w:szCs w:val="21"/>
          <w:highlight w:val="none"/>
        </w:rPr>
        <w:t>时</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00</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分，地点为</w:t>
      </w:r>
      <w:r>
        <w:rPr>
          <w:rFonts w:hint="eastAsia" w:ascii="宋体" w:hAnsi="宋体" w:cs="宋体"/>
          <w:b w:val="0"/>
          <w:bCs/>
          <w:snapToGrid w:val="0"/>
          <w:color w:val="auto"/>
          <w:kern w:val="0"/>
          <w:szCs w:val="21"/>
          <w:highlight w:val="none"/>
          <w:u w:val="single"/>
        </w:rPr>
        <w:t xml:space="preserve"> 重庆市渝北区普福大道36号西北工业大学重庆科创中心H504 </w:t>
      </w:r>
      <w:r>
        <w:rPr>
          <w:rFonts w:hint="eastAsia" w:ascii="宋体" w:hAnsi="宋体" w:cs="宋体"/>
          <w:b w:val="0"/>
          <w:bCs/>
          <w:snapToGrid w:val="0"/>
          <w:color w:val="auto"/>
          <w:kern w:val="0"/>
          <w:szCs w:val="21"/>
          <w:highlight w:val="none"/>
        </w:rPr>
        <w:t>。</w:t>
      </w:r>
    </w:p>
    <w:p w14:paraId="7F033C9F">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5.2  逾期送达的或者未送达指定地点的投标文件，招标人不予受理。</w:t>
      </w:r>
    </w:p>
    <w:p w14:paraId="7F033CA0">
      <w:pPr>
        <w:pStyle w:val="4"/>
        <w:spacing w:before="100" w:after="100" w:line="460" w:lineRule="exact"/>
        <w:rPr>
          <w:rFonts w:hint="eastAsia" w:ascii="宋体" w:hAnsi="宋体" w:cs="宋体"/>
          <w:b w:val="0"/>
          <w:bCs/>
          <w:snapToGrid w:val="0"/>
          <w:color w:val="auto"/>
          <w:sz w:val="28"/>
          <w:szCs w:val="28"/>
          <w:highlight w:val="none"/>
        </w:rPr>
      </w:pPr>
      <w:bookmarkStart w:id="71" w:name="_Toc17432"/>
      <w:r>
        <w:rPr>
          <w:rFonts w:hint="eastAsia" w:ascii="宋体" w:hAnsi="宋体" w:cs="宋体"/>
          <w:b w:val="0"/>
          <w:bCs/>
          <w:snapToGrid w:val="0"/>
          <w:color w:val="auto"/>
          <w:sz w:val="28"/>
          <w:szCs w:val="28"/>
          <w:highlight w:val="none"/>
        </w:rPr>
        <w:t>6.  发布公告的媒介</w:t>
      </w:r>
      <w:bookmarkEnd w:id="63"/>
      <w:bookmarkEnd w:id="64"/>
      <w:bookmarkEnd w:id="65"/>
      <w:bookmarkEnd w:id="66"/>
      <w:bookmarkEnd w:id="67"/>
      <w:bookmarkEnd w:id="68"/>
      <w:bookmarkEnd w:id="69"/>
      <w:bookmarkEnd w:id="70"/>
      <w:bookmarkEnd w:id="71"/>
    </w:p>
    <w:p w14:paraId="7F033CA1">
      <w:pPr>
        <w:tabs>
          <w:tab w:val="left" w:pos="4950"/>
        </w:tabs>
        <w:autoSpaceDE w:val="0"/>
        <w:autoSpaceDN w:val="0"/>
        <w:adjustRightInd w:val="0"/>
        <w:snapToGrid w:val="0"/>
        <w:spacing w:line="45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本次招标公告在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snapToGrid w:val="0"/>
          <w:color w:val="auto"/>
          <w:kern w:val="0"/>
          <w:szCs w:val="21"/>
          <w:highlight w:val="none"/>
        </w:rPr>
        <w:t>上发布。</w:t>
      </w:r>
    </w:p>
    <w:p w14:paraId="7F033CA2">
      <w:pPr>
        <w:pStyle w:val="4"/>
        <w:spacing w:before="100" w:after="100" w:line="460" w:lineRule="exact"/>
        <w:rPr>
          <w:rFonts w:hint="eastAsia" w:ascii="宋体" w:hAnsi="宋体" w:cs="宋体"/>
          <w:b w:val="0"/>
          <w:bCs/>
          <w:snapToGrid w:val="0"/>
          <w:color w:val="auto"/>
          <w:sz w:val="28"/>
          <w:szCs w:val="28"/>
          <w:highlight w:val="none"/>
        </w:rPr>
      </w:pPr>
      <w:bookmarkStart w:id="72" w:name="_Toc277082542"/>
      <w:bookmarkStart w:id="73" w:name="_Toc509218698"/>
      <w:bookmarkStart w:id="74" w:name="_Toc287607734"/>
      <w:bookmarkStart w:id="75" w:name="_Toc430530422"/>
      <w:bookmarkStart w:id="76" w:name="_Toc21382"/>
      <w:bookmarkStart w:id="77" w:name="_Toc287620673"/>
      <w:bookmarkStart w:id="78" w:name="_Toc224103305"/>
      <w:r>
        <w:rPr>
          <w:rFonts w:hint="eastAsia" w:ascii="宋体" w:hAnsi="宋体" w:cs="宋体"/>
          <w:b w:val="0"/>
          <w:bCs/>
          <w:snapToGrid w:val="0"/>
          <w:color w:val="auto"/>
          <w:sz w:val="28"/>
          <w:szCs w:val="28"/>
          <w:highlight w:val="none"/>
        </w:rPr>
        <w:t>7.  联系方式</w:t>
      </w:r>
      <w:bookmarkEnd w:id="72"/>
      <w:bookmarkEnd w:id="73"/>
      <w:bookmarkEnd w:id="74"/>
      <w:bookmarkEnd w:id="75"/>
      <w:bookmarkEnd w:id="76"/>
      <w:bookmarkEnd w:id="77"/>
      <w:bookmarkEnd w:id="78"/>
    </w:p>
    <w:p w14:paraId="7F033CA3">
      <w:pPr>
        <w:tabs>
          <w:tab w:val="left" w:pos="5140"/>
          <w:tab w:val="left" w:pos="8520"/>
        </w:tabs>
        <w:autoSpaceDE w:val="0"/>
        <w:autoSpaceDN w:val="0"/>
        <w:adjustRightInd w:val="0"/>
        <w:snapToGrid w:val="0"/>
        <w:spacing w:line="45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招 标 人：</w:t>
      </w:r>
      <w:r>
        <w:rPr>
          <w:rFonts w:hint="eastAsia" w:ascii="宋体" w:hAnsi="宋体" w:cs="宋体"/>
          <w:b w:val="0"/>
          <w:bCs/>
          <w:snapToGrid w:val="0"/>
          <w:color w:val="auto"/>
          <w:kern w:val="0"/>
          <w:szCs w:val="21"/>
          <w:highlight w:val="none"/>
          <w:u w:val="single"/>
        </w:rPr>
        <w:t>重庆三航新材料技术研究院有限公司</w:t>
      </w:r>
      <w:r>
        <w:rPr>
          <w:rFonts w:hint="eastAsia" w:ascii="宋体" w:hAnsi="宋体" w:cs="宋体"/>
          <w:b w:val="0"/>
          <w:bCs/>
          <w:snapToGrid w:val="0"/>
          <w:color w:val="auto"/>
          <w:kern w:val="0"/>
          <w:szCs w:val="21"/>
          <w:highlight w:val="none"/>
        </w:rPr>
        <w:t xml:space="preserve">  招标代理机构：</w:t>
      </w:r>
      <w:r>
        <w:rPr>
          <w:rFonts w:hint="eastAsia" w:ascii="宋体" w:hAnsi="宋体" w:cs="宋体"/>
          <w:b w:val="0"/>
          <w:bCs/>
          <w:snapToGrid w:val="0"/>
          <w:color w:val="auto"/>
          <w:kern w:val="0"/>
          <w:szCs w:val="21"/>
          <w:highlight w:val="none"/>
          <w:u w:val="single"/>
        </w:rPr>
        <w:t>重庆恒泰工程造价咨询有限公司</w:t>
      </w:r>
    </w:p>
    <w:p w14:paraId="7F033CA4">
      <w:pPr>
        <w:tabs>
          <w:tab w:val="left" w:pos="5140"/>
          <w:tab w:val="left" w:pos="8420"/>
        </w:tabs>
        <w:autoSpaceDE w:val="0"/>
        <w:autoSpaceDN w:val="0"/>
        <w:adjustRightInd w:val="0"/>
        <w:snapToGrid w:val="0"/>
        <w:spacing w:line="45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地    址：</w:t>
      </w:r>
      <w:r>
        <w:rPr>
          <w:rFonts w:hint="eastAsia" w:ascii="宋体" w:hAnsi="宋体" w:cs="宋体"/>
          <w:b w:val="0"/>
          <w:bCs/>
          <w:snapToGrid w:val="0"/>
          <w:color w:val="auto"/>
          <w:kern w:val="0"/>
          <w:szCs w:val="21"/>
          <w:highlight w:val="none"/>
          <w:u w:val="single"/>
        </w:rPr>
        <w:t xml:space="preserve">重庆市渝北区普福大道36号        </w:t>
      </w:r>
      <w:r>
        <w:rPr>
          <w:rFonts w:hint="eastAsia" w:ascii="宋体" w:hAnsi="宋体" w:cs="宋体"/>
          <w:b w:val="0"/>
          <w:bCs/>
          <w:snapToGrid w:val="0"/>
          <w:color w:val="auto"/>
          <w:kern w:val="0"/>
          <w:szCs w:val="21"/>
          <w:highlight w:val="none"/>
        </w:rPr>
        <w:t xml:space="preserve">  地    址：</w:t>
      </w:r>
      <w:r>
        <w:rPr>
          <w:rFonts w:hint="eastAsia" w:ascii="宋体" w:hAnsi="宋体" w:cs="宋体"/>
          <w:b w:val="0"/>
          <w:bCs/>
          <w:snapToGrid w:val="0"/>
          <w:color w:val="auto"/>
          <w:kern w:val="0"/>
          <w:position w:val="-3"/>
          <w:szCs w:val="21"/>
          <w:highlight w:val="none"/>
          <w:u w:val="single"/>
        </w:rPr>
        <w:t xml:space="preserve">重庆市两江新区富力海洋广场2栋   </w:t>
      </w:r>
    </w:p>
    <w:p w14:paraId="7F033CA5">
      <w:pPr>
        <w:tabs>
          <w:tab w:val="left" w:pos="5140"/>
          <w:tab w:val="left" w:pos="8420"/>
        </w:tabs>
        <w:autoSpaceDE w:val="0"/>
        <w:autoSpaceDN w:val="0"/>
        <w:adjustRightInd w:val="0"/>
        <w:snapToGrid w:val="0"/>
        <w:spacing w:line="45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联 系 人：</w:t>
      </w:r>
      <w:r>
        <w:rPr>
          <w:rFonts w:hint="eastAsia" w:ascii="宋体" w:hAnsi="宋体" w:cs="宋体"/>
          <w:b w:val="0"/>
          <w:bCs/>
          <w:snapToGrid w:val="0"/>
          <w:color w:val="auto"/>
          <w:kern w:val="0"/>
          <w:szCs w:val="21"/>
          <w:highlight w:val="none"/>
          <w:u w:val="single"/>
        </w:rPr>
        <w:t xml:space="preserve">李老师                          </w:t>
      </w:r>
      <w:r>
        <w:rPr>
          <w:rFonts w:hint="eastAsia" w:ascii="宋体" w:hAnsi="宋体" w:cs="宋体"/>
          <w:b w:val="0"/>
          <w:bCs/>
          <w:snapToGrid w:val="0"/>
          <w:color w:val="auto"/>
          <w:kern w:val="0"/>
          <w:szCs w:val="21"/>
          <w:highlight w:val="none"/>
        </w:rPr>
        <w:t xml:space="preserve">  联 系 人：</w:t>
      </w:r>
      <w:r>
        <w:rPr>
          <w:rFonts w:hint="eastAsia" w:ascii="宋体" w:hAnsi="宋体" w:cs="宋体"/>
          <w:b w:val="0"/>
          <w:bCs/>
          <w:snapToGrid w:val="0"/>
          <w:color w:val="auto"/>
          <w:kern w:val="0"/>
          <w:szCs w:val="21"/>
          <w:highlight w:val="none"/>
          <w:u w:val="single"/>
        </w:rPr>
        <w:t xml:space="preserve">肖老师                          </w:t>
      </w:r>
    </w:p>
    <w:p w14:paraId="7F033CA6">
      <w:pPr>
        <w:tabs>
          <w:tab w:val="left" w:pos="5140"/>
          <w:tab w:val="left" w:pos="8420"/>
        </w:tabs>
        <w:autoSpaceDE w:val="0"/>
        <w:autoSpaceDN w:val="0"/>
        <w:adjustRightInd w:val="0"/>
        <w:snapToGrid w:val="0"/>
        <w:spacing w:line="450" w:lineRule="exact"/>
        <w:ind w:firstLine="420" w:firstLineChars="20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电    话：</w:t>
      </w:r>
      <w:r>
        <w:rPr>
          <w:rFonts w:hint="eastAsia" w:ascii="宋体" w:hAnsi="宋体" w:cs="宋体"/>
          <w:b w:val="0"/>
          <w:bCs/>
          <w:snapToGrid w:val="0"/>
          <w:color w:val="auto"/>
          <w:kern w:val="0"/>
          <w:szCs w:val="21"/>
          <w:highlight w:val="none"/>
          <w:u w:val="single"/>
        </w:rPr>
        <w:t xml:space="preserve">15285106230                     </w:t>
      </w:r>
      <w:r>
        <w:rPr>
          <w:rFonts w:hint="eastAsia" w:ascii="宋体" w:hAnsi="宋体" w:cs="宋体"/>
          <w:b w:val="0"/>
          <w:bCs/>
          <w:snapToGrid w:val="0"/>
          <w:color w:val="auto"/>
          <w:kern w:val="0"/>
          <w:szCs w:val="21"/>
          <w:highlight w:val="none"/>
        </w:rPr>
        <w:t xml:space="preserve">  电    话：</w:t>
      </w:r>
      <w:r>
        <w:rPr>
          <w:rFonts w:hint="eastAsia" w:ascii="宋体" w:hAnsi="宋体" w:cs="宋体"/>
          <w:b w:val="0"/>
          <w:bCs/>
          <w:snapToGrid w:val="0"/>
          <w:color w:val="auto"/>
          <w:kern w:val="0"/>
          <w:szCs w:val="21"/>
          <w:highlight w:val="none"/>
          <w:u w:val="single"/>
        </w:rPr>
        <w:t xml:space="preserve">023-67869788 18324195454        </w:t>
      </w:r>
    </w:p>
    <w:p w14:paraId="7F033CA7">
      <w:pPr>
        <w:rPr>
          <w:rFonts w:ascii="宋体" w:hAnsi="宋体" w:cs="宋体"/>
          <w:b w:val="0"/>
          <w:bCs/>
          <w:color w:val="auto"/>
          <w:highlight w:val="none"/>
        </w:rPr>
      </w:pPr>
    </w:p>
    <w:p w14:paraId="7F033CA8">
      <w:pPr>
        <w:autoSpaceDE w:val="0"/>
        <w:autoSpaceDN w:val="0"/>
        <w:adjustRightInd w:val="0"/>
        <w:snapToGrid w:val="0"/>
        <w:spacing w:line="440" w:lineRule="exact"/>
        <w:ind w:firstLine="3906" w:firstLineChars="1860"/>
        <w:jc w:val="right"/>
        <w:rPr>
          <w:rFonts w:hint="eastAsia" w:ascii="宋体" w:hAnsi="宋体" w:cs="宋体"/>
          <w:b w:val="0"/>
          <w:bCs/>
          <w:snapToGrid w:val="0"/>
          <w:color w:val="auto"/>
          <w:kern w:val="0"/>
          <w:szCs w:val="21"/>
          <w:highlight w:val="none"/>
          <w:u w:val="single"/>
        </w:rPr>
      </w:pPr>
    </w:p>
    <w:p w14:paraId="7F033CA9">
      <w:pPr>
        <w:autoSpaceDE w:val="0"/>
        <w:autoSpaceDN w:val="0"/>
        <w:adjustRightInd w:val="0"/>
        <w:snapToGrid w:val="0"/>
        <w:spacing w:line="440" w:lineRule="exact"/>
        <w:ind w:firstLine="3906" w:firstLineChars="1860"/>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2026</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08</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lang w:val="en-US" w:eastAsia="zh-CN"/>
        </w:rPr>
        <w:t>07</w:t>
      </w:r>
      <w:bookmarkStart w:id="1047" w:name="_GoBack"/>
      <w:bookmarkEnd w:id="1047"/>
      <w:r>
        <w:rPr>
          <w:rFonts w:hint="eastAsia" w:ascii="宋体" w:hAnsi="宋体" w:cs="宋体"/>
          <w:b w:val="0"/>
          <w:bCs/>
          <w:snapToGrid w:val="0"/>
          <w:color w:val="auto"/>
          <w:kern w:val="0"/>
          <w:szCs w:val="21"/>
          <w:highlight w:val="none"/>
          <w:u w:val="single"/>
          <w:lang w:val="en-US" w:eastAsia="zh-CN"/>
        </w:rPr>
        <w:t xml:space="preserve"> </w:t>
      </w:r>
      <w:r>
        <w:rPr>
          <w:rFonts w:hint="eastAsia" w:ascii="宋体" w:hAnsi="宋体" w:cs="宋体"/>
          <w:b w:val="0"/>
          <w:bCs/>
          <w:snapToGrid w:val="0"/>
          <w:color w:val="auto"/>
          <w:kern w:val="0"/>
          <w:szCs w:val="21"/>
          <w:highlight w:val="none"/>
        </w:rPr>
        <w:t>日</w:t>
      </w:r>
    </w:p>
    <w:p w14:paraId="7F033CAA">
      <w:pPr>
        <w:autoSpaceDE w:val="0"/>
        <w:autoSpaceDN w:val="0"/>
        <w:adjustRightInd w:val="0"/>
        <w:snapToGrid w:val="0"/>
        <w:spacing w:line="440" w:lineRule="exact"/>
        <w:ind w:firstLine="3906" w:firstLineChars="1860"/>
        <w:jc w:val="right"/>
        <w:rPr>
          <w:rFonts w:hint="eastAsia" w:ascii="宋体" w:hAnsi="宋体" w:cs="宋体"/>
          <w:b w:val="0"/>
          <w:bCs/>
          <w:snapToGrid w:val="0"/>
          <w:color w:val="auto"/>
          <w:kern w:val="0"/>
          <w:szCs w:val="21"/>
          <w:highlight w:val="none"/>
        </w:rPr>
      </w:pPr>
    </w:p>
    <w:p w14:paraId="7F033CAB">
      <w:pPr>
        <w:pStyle w:val="2"/>
        <w:rPr>
          <w:rFonts w:ascii="宋体" w:hAnsi="宋体" w:cs="宋体"/>
          <w:b w:val="0"/>
          <w:bCs/>
          <w:snapToGrid w:val="0"/>
          <w:color w:val="auto"/>
          <w:highlight w:val="none"/>
        </w:rPr>
      </w:pPr>
      <w:r>
        <w:rPr>
          <w:rFonts w:ascii="宋体" w:hAnsi="宋体" w:cs="宋体"/>
          <w:b w:val="0"/>
          <w:bCs/>
          <w:snapToGrid w:val="0"/>
          <w:color w:val="auto"/>
          <w:highlight w:val="none"/>
        </w:rPr>
        <w:br w:type="page"/>
      </w:r>
    </w:p>
    <w:p w14:paraId="7F033CAC">
      <w:pPr>
        <w:pStyle w:val="3"/>
        <w:spacing w:line="360" w:lineRule="auto"/>
        <w:jc w:val="center"/>
        <w:rPr>
          <w:rFonts w:hint="eastAsia" w:ascii="宋体" w:hAnsi="宋体" w:cs="宋体"/>
          <w:b w:val="0"/>
          <w:bCs/>
          <w:snapToGrid w:val="0"/>
          <w:color w:val="auto"/>
          <w:kern w:val="0"/>
          <w:highlight w:val="none"/>
        </w:rPr>
      </w:pPr>
      <w:bookmarkStart w:id="79" w:name="_Toc287620683"/>
      <w:bookmarkStart w:id="80" w:name="_Toc16552"/>
      <w:bookmarkStart w:id="81" w:name="_Toc224103315"/>
      <w:bookmarkStart w:id="82" w:name="_Toc430530432"/>
      <w:bookmarkStart w:id="83" w:name="_Toc287607744"/>
      <w:r>
        <w:rPr>
          <w:rFonts w:hint="eastAsia" w:ascii="宋体" w:hAnsi="宋体" w:cs="宋体"/>
          <w:b w:val="0"/>
          <w:bCs/>
          <w:snapToGrid w:val="0"/>
          <w:color w:val="auto"/>
          <w:kern w:val="0"/>
          <w:highlight w:val="none"/>
        </w:rPr>
        <w:t>第二章  投标人须知</w:t>
      </w:r>
      <w:bookmarkEnd w:id="79"/>
      <w:bookmarkEnd w:id="80"/>
      <w:bookmarkEnd w:id="81"/>
      <w:bookmarkEnd w:id="82"/>
      <w:bookmarkEnd w:id="83"/>
      <w:bookmarkStart w:id="84" w:name="_Toc224103316"/>
      <w:bookmarkStart w:id="85" w:name="_Toc277082551"/>
      <w:bookmarkStart w:id="86" w:name="_Toc287620684"/>
      <w:bookmarkStart w:id="87" w:name="_Toc287607745"/>
      <w:bookmarkStart w:id="88" w:name="_Toc430530433"/>
    </w:p>
    <w:p w14:paraId="7F033CAD">
      <w:pPr>
        <w:bidi w:val="0"/>
        <w:rPr>
          <w:rFonts w:hint="eastAsia"/>
          <w:b w:val="0"/>
          <w:bCs/>
          <w:color w:val="auto"/>
          <w:sz w:val="36"/>
          <w:szCs w:val="44"/>
          <w:highlight w:val="none"/>
        </w:rPr>
      </w:pPr>
      <w:bookmarkStart w:id="89" w:name="_Toc8880"/>
      <w:bookmarkStart w:id="90" w:name="_Toc509218708"/>
      <w:r>
        <w:rPr>
          <w:rFonts w:hint="eastAsia"/>
          <w:b w:val="0"/>
          <w:bCs/>
          <w:color w:val="auto"/>
          <w:sz w:val="36"/>
          <w:szCs w:val="44"/>
          <w:highlight w:val="none"/>
        </w:rPr>
        <w:t>投标人须知前附表</w:t>
      </w:r>
      <w:bookmarkEnd w:id="84"/>
      <w:bookmarkEnd w:id="85"/>
      <w:bookmarkEnd w:id="86"/>
      <w:bookmarkEnd w:id="87"/>
      <w:bookmarkEnd w:id="88"/>
      <w:bookmarkEnd w:id="89"/>
      <w:bookmarkEnd w:id="90"/>
    </w:p>
    <w:p w14:paraId="7F033CAE">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正文内容不允许修改。若投标人须知前附表与正文不一致的地方，以投标人须知前附表为准。</w:t>
      </w:r>
    </w:p>
    <w:tbl>
      <w:tblPr>
        <w:tblStyle w:val="46"/>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7F033C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7F033CA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条 款 号</w:t>
            </w:r>
          </w:p>
        </w:tc>
        <w:tc>
          <w:tcPr>
            <w:tcW w:w="1754" w:type="dxa"/>
            <w:vAlign w:val="center"/>
          </w:tcPr>
          <w:p w14:paraId="7F033CB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条款名称</w:t>
            </w:r>
          </w:p>
        </w:tc>
        <w:tc>
          <w:tcPr>
            <w:tcW w:w="6490" w:type="dxa"/>
            <w:vAlign w:val="center"/>
          </w:tcPr>
          <w:p w14:paraId="7F033CB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编  列  内  容</w:t>
            </w:r>
          </w:p>
        </w:tc>
      </w:tr>
      <w:tr w14:paraId="7F033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B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1.1.2</w:t>
            </w:r>
          </w:p>
        </w:tc>
        <w:tc>
          <w:tcPr>
            <w:tcW w:w="1754" w:type="dxa"/>
            <w:vAlign w:val="center"/>
          </w:tcPr>
          <w:p w14:paraId="7F033CB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招标人</w:t>
            </w:r>
          </w:p>
        </w:tc>
        <w:tc>
          <w:tcPr>
            <w:tcW w:w="6490" w:type="dxa"/>
            <w:vAlign w:val="center"/>
          </w:tcPr>
          <w:p w14:paraId="7F033CB5">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名称：</w:t>
            </w:r>
            <w:r>
              <w:rPr>
                <w:rFonts w:hint="eastAsia" w:ascii="宋体" w:hAnsi="宋体" w:cs="宋体"/>
                <w:b w:val="0"/>
                <w:bCs/>
                <w:color w:val="auto"/>
                <w:kern w:val="0"/>
                <w:szCs w:val="21"/>
                <w:highlight w:val="none"/>
                <w:u w:val="single"/>
              </w:rPr>
              <w:t>重庆三航新材料技术研究院有限公司</w:t>
            </w:r>
          </w:p>
          <w:p w14:paraId="7F033CB6">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地址：</w:t>
            </w:r>
            <w:r>
              <w:rPr>
                <w:rFonts w:hint="eastAsia" w:ascii="宋体" w:hAnsi="宋体" w:cs="宋体"/>
                <w:b w:val="0"/>
                <w:bCs/>
                <w:color w:val="auto"/>
                <w:kern w:val="0"/>
                <w:szCs w:val="21"/>
                <w:highlight w:val="none"/>
                <w:u w:val="single"/>
              </w:rPr>
              <w:t xml:space="preserve">重庆市渝北区普福大道36号       </w:t>
            </w:r>
          </w:p>
          <w:p w14:paraId="7F033CB7">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联系人：</w:t>
            </w:r>
            <w:r>
              <w:rPr>
                <w:rFonts w:hint="eastAsia" w:ascii="宋体" w:hAnsi="宋体" w:cs="宋体"/>
                <w:b w:val="0"/>
                <w:bCs/>
                <w:color w:val="auto"/>
                <w:kern w:val="0"/>
                <w:szCs w:val="21"/>
                <w:highlight w:val="none"/>
                <w:u w:val="single"/>
              </w:rPr>
              <w:t xml:space="preserve"> 李老师          </w:t>
            </w:r>
          </w:p>
          <w:p w14:paraId="7F033CB8">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电话：</w:t>
            </w:r>
            <w:r>
              <w:rPr>
                <w:rFonts w:hint="eastAsia" w:ascii="宋体" w:hAnsi="宋体" w:cs="宋体"/>
                <w:b w:val="0"/>
                <w:bCs/>
                <w:color w:val="auto"/>
                <w:kern w:val="0"/>
                <w:szCs w:val="21"/>
                <w:highlight w:val="none"/>
                <w:u w:val="single"/>
              </w:rPr>
              <w:t xml:space="preserve"> 15285106230       </w:t>
            </w:r>
          </w:p>
        </w:tc>
      </w:tr>
      <w:tr w14:paraId="7F033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BA">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1.1.3</w:t>
            </w:r>
          </w:p>
        </w:tc>
        <w:tc>
          <w:tcPr>
            <w:tcW w:w="1754" w:type="dxa"/>
            <w:vAlign w:val="center"/>
          </w:tcPr>
          <w:p w14:paraId="7F033CB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招标代理机构</w:t>
            </w:r>
          </w:p>
        </w:tc>
        <w:tc>
          <w:tcPr>
            <w:tcW w:w="6490" w:type="dxa"/>
            <w:vAlign w:val="center"/>
          </w:tcPr>
          <w:p w14:paraId="7F033CBC">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名称：</w:t>
            </w:r>
            <w:r>
              <w:rPr>
                <w:rFonts w:hint="eastAsia" w:ascii="宋体" w:hAnsi="宋体" w:cs="宋体"/>
                <w:b w:val="0"/>
                <w:bCs/>
                <w:snapToGrid w:val="0"/>
                <w:color w:val="auto"/>
                <w:kern w:val="0"/>
                <w:szCs w:val="21"/>
                <w:highlight w:val="none"/>
                <w:u w:val="single"/>
              </w:rPr>
              <w:t>重庆恒泰工程造价咨询有限公司</w:t>
            </w:r>
          </w:p>
          <w:p w14:paraId="7F033CBD">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地址：</w:t>
            </w:r>
            <w:r>
              <w:rPr>
                <w:rFonts w:hint="eastAsia" w:ascii="宋体" w:hAnsi="宋体" w:cs="宋体"/>
                <w:b w:val="0"/>
                <w:bCs/>
                <w:color w:val="auto"/>
                <w:kern w:val="0"/>
                <w:szCs w:val="21"/>
                <w:highlight w:val="none"/>
                <w:u w:val="single"/>
              </w:rPr>
              <w:t>重庆市两江新区富力海洋广场2栋</w:t>
            </w:r>
          </w:p>
          <w:p w14:paraId="7F033CBE">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联系人：</w:t>
            </w:r>
            <w:r>
              <w:rPr>
                <w:rFonts w:hint="eastAsia" w:ascii="宋体" w:hAnsi="宋体" w:cs="宋体"/>
                <w:b w:val="0"/>
                <w:bCs/>
                <w:color w:val="auto"/>
                <w:kern w:val="0"/>
                <w:szCs w:val="21"/>
                <w:highlight w:val="none"/>
                <w:u w:val="single"/>
              </w:rPr>
              <w:t xml:space="preserve"> 肖老师       </w:t>
            </w:r>
          </w:p>
          <w:p w14:paraId="7F033CBF">
            <w:pPr>
              <w:snapToGrid w:val="0"/>
              <w:spacing w:line="400" w:lineRule="exac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电话：</w:t>
            </w:r>
            <w:r>
              <w:rPr>
                <w:rFonts w:hint="eastAsia" w:ascii="宋体" w:hAnsi="宋体" w:cs="宋体"/>
                <w:b w:val="0"/>
                <w:bCs/>
                <w:color w:val="auto"/>
                <w:kern w:val="0"/>
                <w:szCs w:val="21"/>
                <w:highlight w:val="none"/>
                <w:u w:val="single"/>
              </w:rPr>
              <w:t xml:space="preserve"> 023-67869788 18324195454   </w:t>
            </w:r>
          </w:p>
        </w:tc>
      </w:tr>
      <w:tr w14:paraId="7F033C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C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1.1.4</w:t>
            </w:r>
          </w:p>
        </w:tc>
        <w:tc>
          <w:tcPr>
            <w:tcW w:w="1754" w:type="dxa"/>
            <w:vAlign w:val="center"/>
          </w:tcPr>
          <w:p w14:paraId="7F033CC2">
            <w:pPr>
              <w:snapToGrid w:val="0"/>
              <w:spacing w:line="400" w:lineRule="exact"/>
              <w:jc w:val="center"/>
              <w:rPr>
                <w:rFonts w:hint="eastAsia" w:ascii="宋体" w:hAnsi="宋体" w:cs="宋体"/>
                <w:b w:val="0"/>
                <w:bCs/>
                <w:color w:val="auto"/>
                <w:szCs w:val="21"/>
                <w:highlight w:val="none"/>
                <w:u w:val="single"/>
              </w:rPr>
            </w:pPr>
            <w:r>
              <w:rPr>
                <w:rFonts w:hint="eastAsia" w:ascii="宋体" w:hAnsi="宋体" w:cs="宋体"/>
                <w:b w:val="0"/>
                <w:bCs/>
                <w:color w:val="auto"/>
                <w:kern w:val="0"/>
                <w:szCs w:val="21"/>
                <w:highlight w:val="none"/>
              </w:rPr>
              <w:t>招标项目名称</w:t>
            </w:r>
          </w:p>
        </w:tc>
        <w:tc>
          <w:tcPr>
            <w:tcW w:w="6490" w:type="dxa"/>
            <w:vAlign w:val="center"/>
          </w:tcPr>
          <w:p w14:paraId="7F033CC3">
            <w:pPr>
              <w:snapToGrid w:val="0"/>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重庆三航新材料技术研究院有限公司泸州项目设备</w:t>
            </w:r>
          </w:p>
        </w:tc>
      </w:tr>
      <w:tr w14:paraId="7F033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C5">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1.1.5</w:t>
            </w:r>
          </w:p>
        </w:tc>
        <w:tc>
          <w:tcPr>
            <w:tcW w:w="1754" w:type="dxa"/>
            <w:vAlign w:val="center"/>
          </w:tcPr>
          <w:p w14:paraId="7F033CC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工程项目名称</w:t>
            </w:r>
          </w:p>
        </w:tc>
        <w:tc>
          <w:tcPr>
            <w:tcW w:w="6490" w:type="dxa"/>
            <w:vAlign w:val="center"/>
          </w:tcPr>
          <w:p w14:paraId="7F033CC7">
            <w:pPr>
              <w:snapToGrid w:val="0"/>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重庆三航新材料技术研究院有限公司泸州项目设备</w:t>
            </w:r>
          </w:p>
        </w:tc>
      </w:tr>
      <w:tr w14:paraId="7F033C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C9">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1.2.1</w:t>
            </w:r>
          </w:p>
        </w:tc>
        <w:tc>
          <w:tcPr>
            <w:tcW w:w="1754" w:type="dxa"/>
            <w:vAlign w:val="center"/>
          </w:tcPr>
          <w:p w14:paraId="7F033CCA">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资金来源及比例</w:t>
            </w:r>
          </w:p>
        </w:tc>
        <w:tc>
          <w:tcPr>
            <w:tcW w:w="6490" w:type="dxa"/>
            <w:vAlign w:val="center"/>
          </w:tcPr>
          <w:p w14:paraId="7F033CCB">
            <w:pPr>
              <w:tabs>
                <w:tab w:val="left" w:pos="3840"/>
                <w:tab w:val="left" w:pos="5300"/>
              </w:tabs>
              <w:autoSpaceDE w:val="0"/>
              <w:autoSpaceDN w:val="0"/>
              <w:adjustRightInd w:val="0"/>
              <w:snapToGrid w:val="0"/>
              <w:spacing w:line="46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u w:val="single"/>
              </w:rPr>
              <w:t>业主自筹资金，100%</w:t>
            </w:r>
          </w:p>
        </w:tc>
      </w:tr>
      <w:tr w14:paraId="7F033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CD">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1.2.2</w:t>
            </w:r>
          </w:p>
        </w:tc>
        <w:tc>
          <w:tcPr>
            <w:tcW w:w="1754" w:type="dxa"/>
            <w:vAlign w:val="center"/>
          </w:tcPr>
          <w:p w14:paraId="7F033CCE">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资金落实情况</w:t>
            </w:r>
          </w:p>
        </w:tc>
        <w:tc>
          <w:tcPr>
            <w:tcW w:w="6490" w:type="dxa"/>
            <w:vAlign w:val="center"/>
          </w:tcPr>
          <w:p w14:paraId="7F033CCF">
            <w:pPr>
              <w:snapToGrid w:val="0"/>
              <w:spacing w:line="400" w:lineRule="exact"/>
              <w:ind w:firstLine="420" w:firstLineChars="200"/>
              <w:jc w:val="left"/>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u w:val="single"/>
              </w:rPr>
              <w:t>已落实</w:t>
            </w:r>
          </w:p>
        </w:tc>
      </w:tr>
      <w:tr w14:paraId="7F033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D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1.3.1</w:t>
            </w:r>
          </w:p>
        </w:tc>
        <w:tc>
          <w:tcPr>
            <w:tcW w:w="1754" w:type="dxa"/>
            <w:vAlign w:val="center"/>
          </w:tcPr>
          <w:p w14:paraId="7F033CD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招标范围</w:t>
            </w:r>
          </w:p>
        </w:tc>
        <w:tc>
          <w:tcPr>
            <w:tcW w:w="6490" w:type="dxa"/>
            <w:vAlign w:val="center"/>
          </w:tcPr>
          <w:p w14:paraId="7F033CD3">
            <w:pPr>
              <w:snapToGrid w:val="0"/>
              <w:spacing w:line="400" w:lineRule="exact"/>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重庆三航新材料技术研究院有限公司泸州项目设备一标段：采购1台钛及钛合金电极块压制机组(45MN)；</w:t>
            </w:r>
          </w:p>
          <w:p w14:paraId="7F033CD4">
            <w:pPr>
              <w:snapToGrid w:val="0"/>
              <w:spacing w:line="400" w:lineRule="exact"/>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重庆三航新材料技术研究院有限公司泸州项目设备二标段：采购1台1000kg真空自耗电弧炉；采购2台300kg真空自耗电弧炉；</w:t>
            </w:r>
          </w:p>
          <w:p w14:paraId="7F033CD5">
            <w:pPr>
              <w:snapToGrid w:val="0"/>
              <w:spacing w:line="400" w:lineRule="exact"/>
              <w:ind w:firstLine="420" w:firstLineChars="200"/>
              <w:jc w:val="left"/>
              <w:rPr>
                <w:rFonts w:hint="eastAsia" w:ascii="宋体" w:hAnsi="宋体" w:cs="宋体"/>
                <w:b w:val="0"/>
                <w:bCs/>
                <w:i/>
                <w:color w:val="auto"/>
                <w:szCs w:val="21"/>
                <w:highlight w:val="none"/>
              </w:rPr>
            </w:pPr>
            <w:r>
              <w:rPr>
                <w:rFonts w:hint="eastAsia" w:ascii="宋体" w:hAnsi="宋体" w:cs="宋体"/>
                <w:b w:val="0"/>
                <w:bCs/>
                <w:color w:val="auto"/>
                <w:kern w:val="0"/>
                <w:szCs w:val="21"/>
                <w:highlight w:val="none"/>
              </w:rPr>
              <w:t>重庆三航新材料技术研究院有限公司泸州项目设备三标段：采购1台冷坩埚悬浮熔炼炉(Fe50kg)。</w:t>
            </w:r>
          </w:p>
        </w:tc>
      </w:tr>
      <w:tr w14:paraId="7F033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D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1.3.2</w:t>
            </w:r>
          </w:p>
        </w:tc>
        <w:tc>
          <w:tcPr>
            <w:tcW w:w="1754" w:type="dxa"/>
            <w:vAlign w:val="center"/>
          </w:tcPr>
          <w:p w14:paraId="7F033CD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交货期</w:t>
            </w:r>
          </w:p>
        </w:tc>
        <w:tc>
          <w:tcPr>
            <w:tcW w:w="6490" w:type="dxa"/>
            <w:vAlign w:val="center"/>
          </w:tcPr>
          <w:p w14:paraId="7F033CD9">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u w:val="single"/>
              </w:rPr>
              <w:t xml:space="preserve"> 180日历天（具体要求详见第一章2.6） </w:t>
            </w:r>
          </w:p>
        </w:tc>
      </w:tr>
      <w:tr w14:paraId="7F033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D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1.3.3</w:t>
            </w:r>
          </w:p>
        </w:tc>
        <w:tc>
          <w:tcPr>
            <w:tcW w:w="1754" w:type="dxa"/>
            <w:vAlign w:val="center"/>
          </w:tcPr>
          <w:p w14:paraId="7F033CD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交货地点</w:t>
            </w:r>
          </w:p>
        </w:tc>
        <w:tc>
          <w:tcPr>
            <w:tcW w:w="6490" w:type="dxa"/>
            <w:vAlign w:val="center"/>
          </w:tcPr>
          <w:p w14:paraId="7F033CD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 xml:space="preserve"> </w:t>
            </w:r>
            <w:r>
              <w:rPr>
                <w:rFonts w:hint="eastAsia" w:ascii="宋体" w:hAnsi="宋体" w:cs="宋体"/>
                <w:b w:val="0"/>
                <w:bCs/>
                <w:snapToGrid w:val="0"/>
                <w:color w:val="auto"/>
                <w:kern w:val="0"/>
                <w:szCs w:val="21"/>
                <w:highlight w:val="none"/>
                <w:u w:val="single"/>
              </w:rPr>
              <w:t>中标人现场预验收后发货，最终验收在招标人现场完成。（具体要求详见第一章2.5）</w:t>
            </w:r>
            <w:r>
              <w:rPr>
                <w:rFonts w:hint="eastAsia" w:ascii="宋体" w:hAnsi="宋体" w:cs="宋体"/>
                <w:b w:val="0"/>
                <w:bCs/>
                <w:color w:val="auto"/>
                <w:szCs w:val="21"/>
                <w:highlight w:val="none"/>
                <w:u w:val="single"/>
              </w:rPr>
              <w:t xml:space="preserve"> </w:t>
            </w:r>
          </w:p>
        </w:tc>
      </w:tr>
      <w:tr w14:paraId="7F033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CD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1.3.4</w:t>
            </w:r>
          </w:p>
        </w:tc>
        <w:tc>
          <w:tcPr>
            <w:tcW w:w="1754" w:type="dxa"/>
            <w:vAlign w:val="center"/>
          </w:tcPr>
          <w:p w14:paraId="7F033CE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质量标准</w:t>
            </w:r>
          </w:p>
          <w:p w14:paraId="7F033CE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和技术性能</w:t>
            </w:r>
          </w:p>
        </w:tc>
        <w:tc>
          <w:tcPr>
            <w:tcW w:w="6490" w:type="dxa"/>
            <w:vAlign w:val="center"/>
          </w:tcPr>
          <w:p w14:paraId="7F033CE2">
            <w:pPr>
              <w:snapToGrid w:val="0"/>
              <w:spacing w:line="400" w:lineRule="exact"/>
              <w:ind w:firstLine="420" w:firstLineChars="200"/>
              <w:rPr>
                <w:rFonts w:hint="eastAsia" w:ascii="宋体" w:hAnsi="宋体" w:cs="宋体"/>
                <w:b w:val="0"/>
                <w:bCs/>
                <w:i/>
                <w:color w:val="auto"/>
                <w:szCs w:val="21"/>
                <w:highlight w:val="none"/>
              </w:rPr>
            </w:pPr>
            <w:r>
              <w:rPr>
                <w:rFonts w:hint="eastAsia" w:ascii="宋体" w:hAnsi="宋体" w:cs="宋体"/>
                <w:b w:val="0"/>
                <w:bCs/>
                <w:color w:val="auto"/>
                <w:highlight w:val="none"/>
                <w:u w:val="single"/>
              </w:rPr>
              <w:t>详见第五章供货要求中的实质性条款</w:t>
            </w:r>
            <w:r>
              <w:rPr>
                <w:rFonts w:hint="eastAsia" w:ascii="宋体" w:hAnsi="宋体" w:cs="宋体"/>
                <w:b w:val="0"/>
                <w:bCs/>
                <w:color w:val="auto"/>
                <w:highlight w:val="none"/>
              </w:rPr>
              <w:t>。</w:t>
            </w:r>
          </w:p>
        </w:tc>
      </w:tr>
      <w:tr w14:paraId="7F033D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7F033CE4">
            <w:pPr>
              <w:snapToGrid w:val="0"/>
              <w:spacing w:line="400" w:lineRule="exact"/>
              <w:jc w:val="center"/>
              <w:rPr>
                <w:rFonts w:hint="eastAsia" w:ascii="宋体" w:hAnsi="宋体" w:cs="宋体"/>
                <w:b w:val="0"/>
                <w:bCs/>
                <w:color w:val="auto"/>
                <w:kern w:val="0"/>
                <w:szCs w:val="21"/>
                <w:highlight w:val="none"/>
              </w:rPr>
            </w:pPr>
          </w:p>
          <w:p w14:paraId="7F033CE5">
            <w:pPr>
              <w:snapToGrid w:val="0"/>
              <w:spacing w:line="400" w:lineRule="exact"/>
              <w:jc w:val="center"/>
              <w:rPr>
                <w:rFonts w:hint="eastAsia" w:ascii="宋体" w:hAnsi="宋体" w:cs="宋体"/>
                <w:b w:val="0"/>
                <w:bCs/>
                <w:color w:val="auto"/>
                <w:kern w:val="0"/>
                <w:szCs w:val="21"/>
                <w:highlight w:val="none"/>
              </w:rPr>
            </w:pPr>
          </w:p>
          <w:p w14:paraId="7F033CE6">
            <w:pPr>
              <w:snapToGrid w:val="0"/>
              <w:spacing w:line="400" w:lineRule="exact"/>
              <w:jc w:val="center"/>
              <w:rPr>
                <w:rFonts w:hint="eastAsia" w:ascii="宋体" w:hAnsi="宋体" w:cs="宋体"/>
                <w:b w:val="0"/>
                <w:bCs/>
                <w:color w:val="auto"/>
                <w:kern w:val="0"/>
                <w:szCs w:val="21"/>
                <w:highlight w:val="none"/>
              </w:rPr>
            </w:pPr>
          </w:p>
          <w:p w14:paraId="7F033CE7">
            <w:pPr>
              <w:snapToGrid w:val="0"/>
              <w:spacing w:line="400" w:lineRule="exact"/>
              <w:jc w:val="center"/>
              <w:rPr>
                <w:rFonts w:hint="eastAsia" w:ascii="宋体" w:hAnsi="宋体" w:cs="宋体"/>
                <w:b w:val="0"/>
                <w:bCs/>
                <w:color w:val="auto"/>
                <w:kern w:val="0"/>
                <w:szCs w:val="21"/>
                <w:highlight w:val="none"/>
              </w:rPr>
            </w:pPr>
          </w:p>
          <w:p w14:paraId="7F033CE8">
            <w:pPr>
              <w:snapToGrid w:val="0"/>
              <w:spacing w:line="400" w:lineRule="exact"/>
              <w:jc w:val="center"/>
              <w:rPr>
                <w:rFonts w:hint="eastAsia" w:ascii="宋体" w:hAnsi="宋体" w:cs="宋体"/>
                <w:b w:val="0"/>
                <w:bCs/>
                <w:color w:val="auto"/>
                <w:kern w:val="0"/>
                <w:szCs w:val="21"/>
                <w:highlight w:val="none"/>
              </w:rPr>
            </w:pPr>
          </w:p>
          <w:p w14:paraId="7F033CE9">
            <w:pPr>
              <w:snapToGrid w:val="0"/>
              <w:spacing w:line="400" w:lineRule="exact"/>
              <w:jc w:val="center"/>
              <w:rPr>
                <w:rFonts w:hint="eastAsia" w:ascii="宋体" w:hAnsi="宋体" w:cs="宋体"/>
                <w:b w:val="0"/>
                <w:bCs/>
                <w:color w:val="auto"/>
                <w:kern w:val="0"/>
                <w:szCs w:val="21"/>
                <w:highlight w:val="none"/>
              </w:rPr>
            </w:pPr>
          </w:p>
          <w:p w14:paraId="7F033CEA">
            <w:pPr>
              <w:snapToGrid w:val="0"/>
              <w:spacing w:line="400" w:lineRule="exact"/>
              <w:jc w:val="center"/>
              <w:rPr>
                <w:rFonts w:hint="eastAsia" w:ascii="宋体" w:hAnsi="宋体" w:cs="宋体"/>
                <w:b w:val="0"/>
                <w:bCs/>
                <w:color w:val="auto"/>
                <w:kern w:val="0"/>
                <w:szCs w:val="21"/>
                <w:highlight w:val="none"/>
              </w:rPr>
            </w:pPr>
          </w:p>
          <w:p w14:paraId="7F033CEB">
            <w:pPr>
              <w:snapToGrid w:val="0"/>
              <w:spacing w:line="400" w:lineRule="exact"/>
              <w:jc w:val="center"/>
              <w:rPr>
                <w:rFonts w:hint="eastAsia" w:ascii="宋体" w:hAnsi="宋体" w:cs="宋体"/>
                <w:b w:val="0"/>
                <w:bCs/>
                <w:color w:val="auto"/>
                <w:kern w:val="0"/>
                <w:szCs w:val="21"/>
                <w:highlight w:val="none"/>
              </w:rPr>
            </w:pPr>
          </w:p>
          <w:p w14:paraId="7F033CEC">
            <w:pPr>
              <w:snapToGrid w:val="0"/>
              <w:spacing w:line="400" w:lineRule="exact"/>
              <w:jc w:val="center"/>
              <w:rPr>
                <w:rFonts w:hint="eastAsia" w:ascii="宋体" w:hAnsi="宋体" w:cs="宋体"/>
                <w:b w:val="0"/>
                <w:bCs/>
                <w:color w:val="auto"/>
                <w:kern w:val="0"/>
                <w:szCs w:val="21"/>
                <w:highlight w:val="none"/>
              </w:rPr>
            </w:pPr>
          </w:p>
          <w:p w14:paraId="7F033CED">
            <w:pPr>
              <w:snapToGrid w:val="0"/>
              <w:spacing w:line="400" w:lineRule="exact"/>
              <w:jc w:val="center"/>
              <w:rPr>
                <w:rFonts w:hint="eastAsia" w:ascii="宋体" w:hAnsi="宋体" w:cs="宋体"/>
                <w:b w:val="0"/>
                <w:bCs/>
                <w:color w:val="auto"/>
                <w:kern w:val="0"/>
                <w:szCs w:val="21"/>
                <w:highlight w:val="none"/>
              </w:rPr>
            </w:pPr>
          </w:p>
          <w:p w14:paraId="7F033CEE">
            <w:pPr>
              <w:snapToGrid w:val="0"/>
              <w:spacing w:line="400" w:lineRule="exact"/>
              <w:jc w:val="center"/>
              <w:rPr>
                <w:rFonts w:hint="eastAsia" w:ascii="宋体" w:hAnsi="宋体" w:cs="宋体"/>
                <w:b w:val="0"/>
                <w:bCs/>
                <w:color w:val="auto"/>
                <w:kern w:val="0"/>
                <w:szCs w:val="21"/>
                <w:highlight w:val="none"/>
              </w:rPr>
            </w:pPr>
          </w:p>
          <w:p w14:paraId="7F033CEF">
            <w:pPr>
              <w:snapToGrid w:val="0"/>
              <w:spacing w:line="400" w:lineRule="exact"/>
              <w:jc w:val="center"/>
              <w:rPr>
                <w:rFonts w:hint="eastAsia" w:ascii="宋体" w:hAnsi="宋体" w:cs="宋体"/>
                <w:b w:val="0"/>
                <w:bCs/>
                <w:color w:val="auto"/>
                <w:kern w:val="0"/>
                <w:szCs w:val="21"/>
                <w:highlight w:val="none"/>
              </w:rPr>
            </w:pPr>
          </w:p>
          <w:p w14:paraId="7F033CF0">
            <w:pPr>
              <w:snapToGrid w:val="0"/>
              <w:spacing w:line="400" w:lineRule="exact"/>
              <w:jc w:val="center"/>
              <w:rPr>
                <w:rFonts w:hint="eastAsia" w:ascii="宋体" w:hAnsi="宋体" w:cs="宋体"/>
                <w:b w:val="0"/>
                <w:bCs/>
                <w:color w:val="auto"/>
                <w:kern w:val="0"/>
                <w:szCs w:val="21"/>
                <w:highlight w:val="none"/>
              </w:rPr>
            </w:pPr>
          </w:p>
          <w:p w14:paraId="7F033CF1">
            <w:pPr>
              <w:snapToGrid w:val="0"/>
              <w:spacing w:line="400" w:lineRule="exact"/>
              <w:jc w:val="center"/>
              <w:rPr>
                <w:rFonts w:hint="eastAsia" w:ascii="宋体" w:hAnsi="宋体" w:cs="宋体"/>
                <w:b w:val="0"/>
                <w:bCs/>
                <w:color w:val="auto"/>
                <w:kern w:val="0"/>
                <w:szCs w:val="21"/>
                <w:highlight w:val="none"/>
              </w:rPr>
            </w:pPr>
          </w:p>
          <w:p w14:paraId="7F033CF2">
            <w:pPr>
              <w:snapToGrid w:val="0"/>
              <w:spacing w:line="400" w:lineRule="exact"/>
              <w:jc w:val="center"/>
              <w:rPr>
                <w:rFonts w:hint="eastAsia" w:ascii="宋体" w:hAnsi="宋体" w:cs="宋体"/>
                <w:b w:val="0"/>
                <w:bCs/>
                <w:color w:val="auto"/>
                <w:kern w:val="0"/>
                <w:szCs w:val="21"/>
                <w:highlight w:val="none"/>
              </w:rPr>
            </w:pPr>
          </w:p>
          <w:p w14:paraId="7F033CF3">
            <w:pPr>
              <w:snapToGrid w:val="0"/>
              <w:spacing w:line="400" w:lineRule="exact"/>
              <w:jc w:val="center"/>
              <w:rPr>
                <w:rFonts w:hint="eastAsia" w:ascii="宋体" w:hAnsi="宋体" w:cs="宋体"/>
                <w:b w:val="0"/>
                <w:bCs/>
                <w:color w:val="auto"/>
                <w:kern w:val="0"/>
                <w:szCs w:val="21"/>
                <w:highlight w:val="none"/>
              </w:rPr>
            </w:pPr>
          </w:p>
          <w:p w14:paraId="7F033CF4">
            <w:pPr>
              <w:snapToGrid w:val="0"/>
              <w:spacing w:line="400" w:lineRule="exact"/>
              <w:jc w:val="center"/>
              <w:rPr>
                <w:rFonts w:hint="eastAsia" w:ascii="宋体" w:hAnsi="宋体" w:cs="宋体"/>
                <w:b w:val="0"/>
                <w:bCs/>
                <w:color w:val="auto"/>
                <w:kern w:val="0"/>
                <w:szCs w:val="21"/>
                <w:highlight w:val="none"/>
              </w:rPr>
            </w:pPr>
          </w:p>
          <w:p w14:paraId="7F033CF5">
            <w:pPr>
              <w:snapToGrid w:val="0"/>
              <w:spacing w:line="400" w:lineRule="exact"/>
              <w:jc w:val="center"/>
              <w:rPr>
                <w:rFonts w:hint="eastAsia" w:ascii="宋体" w:hAnsi="宋体" w:cs="宋体"/>
                <w:b w:val="0"/>
                <w:bCs/>
                <w:color w:val="auto"/>
                <w:kern w:val="0"/>
                <w:szCs w:val="21"/>
                <w:highlight w:val="none"/>
              </w:rPr>
            </w:pPr>
          </w:p>
          <w:p w14:paraId="7F033CF6">
            <w:pPr>
              <w:snapToGrid w:val="0"/>
              <w:spacing w:line="400" w:lineRule="exact"/>
              <w:jc w:val="center"/>
              <w:rPr>
                <w:rFonts w:hint="eastAsia" w:ascii="宋体" w:hAnsi="宋体" w:cs="宋体"/>
                <w:b w:val="0"/>
                <w:bCs/>
                <w:color w:val="auto"/>
                <w:kern w:val="0"/>
                <w:szCs w:val="21"/>
                <w:highlight w:val="none"/>
              </w:rPr>
            </w:pPr>
          </w:p>
          <w:p w14:paraId="7F033CF7">
            <w:pPr>
              <w:snapToGrid w:val="0"/>
              <w:spacing w:line="400" w:lineRule="exact"/>
              <w:jc w:val="center"/>
              <w:rPr>
                <w:rFonts w:hint="eastAsia" w:ascii="宋体" w:hAnsi="宋体" w:cs="宋体"/>
                <w:b w:val="0"/>
                <w:bCs/>
                <w:color w:val="auto"/>
                <w:kern w:val="0"/>
                <w:szCs w:val="21"/>
                <w:highlight w:val="none"/>
              </w:rPr>
            </w:pPr>
          </w:p>
          <w:p w14:paraId="7F033CF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1.4.1</w:t>
            </w:r>
          </w:p>
          <w:p w14:paraId="7F033CF9">
            <w:pPr>
              <w:snapToGrid w:val="0"/>
              <w:spacing w:line="400" w:lineRule="exact"/>
              <w:jc w:val="center"/>
              <w:rPr>
                <w:rFonts w:hint="eastAsia" w:ascii="宋体" w:hAnsi="宋体" w:cs="宋体"/>
                <w:b w:val="0"/>
                <w:bCs/>
                <w:color w:val="auto"/>
                <w:kern w:val="0"/>
                <w:szCs w:val="21"/>
                <w:highlight w:val="none"/>
              </w:rPr>
            </w:pPr>
          </w:p>
          <w:p w14:paraId="7F033CFA">
            <w:pPr>
              <w:snapToGrid w:val="0"/>
              <w:spacing w:line="400" w:lineRule="exact"/>
              <w:jc w:val="center"/>
              <w:rPr>
                <w:rFonts w:hint="eastAsia" w:ascii="宋体" w:hAnsi="宋体" w:cs="宋体"/>
                <w:b w:val="0"/>
                <w:bCs/>
                <w:color w:val="auto"/>
                <w:kern w:val="0"/>
                <w:szCs w:val="21"/>
                <w:highlight w:val="none"/>
              </w:rPr>
            </w:pPr>
          </w:p>
          <w:p w14:paraId="7F033CFB">
            <w:pPr>
              <w:snapToGrid w:val="0"/>
              <w:spacing w:line="400" w:lineRule="exact"/>
              <w:jc w:val="center"/>
              <w:rPr>
                <w:rFonts w:hint="eastAsia" w:ascii="宋体" w:hAnsi="宋体" w:cs="宋体"/>
                <w:b w:val="0"/>
                <w:bCs/>
                <w:color w:val="auto"/>
                <w:kern w:val="0"/>
                <w:szCs w:val="21"/>
                <w:highlight w:val="none"/>
              </w:rPr>
            </w:pPr>
          </w:p>
          <w:p w14:paraId="7F033CFC">
            <w:pPr>
              <w:snapToGrid w:val="0"/>
              <w:spacing w:line="400" w:lineRule="exact"/>
              <w:jc w:val="center"/>
              <w:rPr>
                <w:rFonts w:hint="eastAsia" w:ascii="宋体" w:hAnsi="宋体" w:cs="宋体"/>
                <w:b w:val="0"/>
                <w:bCs/>
                <w:color w:val="auto"/>
                <w:kern w:val="0"/>
                <w:szCs w:val="21"/>
                <w:highlight w:val="none"/>
              </w:rPr>
            </w:pPr>
          </w:p>
          <w:p w14:paraId="7F033CFD">
            <w:pPr>
              <w:snapToGrid w:val="0"/>
              <w:spacing w:line="400" w:lineRule="exact"/>
              <w:jc w:val="center"/>
              <w:rPr>
                <w:rFonts w:hint="eastAsia" w:ascii="宋体" w:hAnsi="宋体" w:cs="宋体"/>
                <w:b w:val="0"/>
                <w:bCs/>
                <w:color w:val="auto"/>
                <w:kern w:val="0"/>
                <w:szCs w:val="21"/>
                <w:highlight w:val="none"/>
              </w:rPr>
            </w:pPr>
          </w:p>
          <w:p w14:paraId="7F033CFE">
            <w:pPr>
              <w:snapToGrid w:val="0"/>
              <w:spacing w:line="400" w:lineRule="exact"/>
              <w:jc w:val="center"/>
              <w:rPr>
                <w:rFonts w:hint="eastAsia" w:ascii="宋体" w:hAnsi="宋体" w:cs="宋体"/>
                <w:b w:val="0"/>
                <w:bCs/>
                <w:color w:val="auto"/>
                <w:kern w:val="0"/>
                <w:szCs w:val="21"/>
                <w:highlight w:val="none"/>
              </w:rPr>
            </w:pPr>
          </w:p>
          <w:p w14:paraId="7F033CFF">
            <w:pPr>
              <w:snapToGrid w:val="0"/>
              <w:spacing w:line="400" w:lineRule="exact"/>
              <w:jc w:val="center"/>
              <w:rPr>
                <w:rFonts w:hint="eastAsia" w:ascii="宋体" w:hAnsi="宋体" w:cs="宋体"/>
                <w:b w:val="0"/>
                <w:bCs/>
                <w:color w:val="auto"/>
                <w:kern w:val="0"/>
                <w:szCs w:val="21"/>
                <w:highlight w:val="none"/>
              </w:rPr>
            </w:pPr>
          </w:p>
          <w:p w14:paraId="7F033D00">
            <w:pPr>
              <w:snapToGrid w:val="0"/>
              <w:spacing w:line="400" w:lineRule="exact"/>
              <w:jc w:val="center"/>
              <w:rPr>
                <w:rFonts w:hint="eastAsia" w:ascii="宋体" w:hAnsi="宋体" w:cs="宋体"/>
                <w:b w:val="0"/>
                <w:bCs/>
                <w:color w:val="auto"/>
                <w:kern w:val="0"/>
                <w:szCs w:val="21"/>
                <w:highlight w:val="none"/>
              </w:rPr>
            </w:pPr>
          </w:p>
          <w:p w14:paraId="7F033D01">
            <w:pPr>
              <w:snapToGrid w:val="0"/>
              <w:spacing w:line="400" w:lineRule="exact"/>
              <w:jc w:val="center"/>
              <w:rPr>
                <w:rFonts w:hint="eastAsia" w:ascii="宋体" w:hAnsi="宋体" w:cs="宋体"/>
                <w:b w:val="0"/>
                <w:bCs/>
                <w:color w:val="auto"/>
                <w:kern w:val="0"/>
                <w:szCs w:val="21"/>
                <w:highlight w:val="none"/>
              </w:rPr>
            </w:pPr>
          </w:p>
          <w:p w14:paraId="7F033D02">
            <w:pPr>
              <w:snapToGrid w:val="0"/>
              <w:spacing w:line="400" w:lineRule="exact"/>
              <w:jc w:val="center"/>
              <w:rPr>
                <w:rFonts w:hint="eastAsia" w:ascii="宋体" w:hAnsi="宋体" w:cs="宋体"/>
                <w:b w:val="0"/>
                <w:bCs/>
                <w:color w:val="auto"/>
                <w:kern w:val="0"/>
                <w:szCs w:val="21"/>
                <w:highlight w:val="none"/>
              </w:rPr>
            </w:pPr>
          </w:p>
          <w:p w14:paraId="7F033D03">
            <w:pPr>
              <w:snapToGrid w:val="0"/>
              <w:spacing w:line="400" w:lineRule="exact"/>
              <w:jc w:val="center"/>
              <w:rPr>
                <w:rFonts w:hint="eastAsia" w:ascii="宋体" w:hAnsi="宋体" w:cs="宋体"/>
                <w:b w:val="0"/>
                <w:bCs/>
                <w:color w:val="auto"/>
                <w:kern w:val="0"/>
                <w:szCs w:val="21"/>
                <w:highlight w:val="none"/>
              </w:rPr>
            </w:pPr>
          </w:p>
          <w:p w14:paraId="7F033D04">
            <w:pPr>
              <w:snapToGrid w:val="0"/>
              <w:spacing w:line="400" w:lineRule="exact"/>
              <w:jc w:val="center"/>
              <w:rPr>
                <w:rFonts w:hint="eastAsia" w:ascii="宋体" w:hAnsi="宋体" w:cs="宋体"/>
                <w:b w:val="0"/>
                <w:bCs/>
                <w:color w:val="auto"/>
                <w:kern w:val="0"/>
                <w:szCs w:val="21"/>
                <w:highlight w:val="none"/>
              </w:rPr>
            </w:pPr>
          </w:p>
          <w:p w14:paraId="7F033D05">
            <w:pPr>
              <w:snapToGrid w:val="0"/>
              <w:spacing w:line="400" w:lineRule="exact"/>
              <w:jc w:val="center"/>
              <w:rPr>
                <w:rFonts w:hint="eastAsia" w:ascii="宋体" w:hAnsi="宋体" w:cs="宋体"/>
                <w:b w:val="0"/>
                <w:bCs/>
                <w:color w:val="auto"/>
                <w:kern w:val="0"/>
                <w:szCs w:val="21"/>
                <w:highlight w:val="none"/>
              </w:rPr>
            </w:pPr>
          </w:p>
          <w:p w14:paraId="7F033D06">
            <w:pPr>
              <w:snapToGrid w:val="0"/>
              <w:spacing w:line="400" w:lineRule="exact"/>
              <w:jc w:val="center"/>
              <w:rPr>
                <w:rFonts w:hint="eastAsia" w:ascii="宋体" w:hAnsi="宋体" w:cs="宋体"/>
                <w:b w:val="0"/>
                <w:bCs/>
                <w:color w:val="auto"/>
                <w:kern w:val="0"/>
                <w:szCs w:val="21"/>
                <w:highlight w:val="none"/>
              </w:rPr>
            </w:pPr>
          </w:p>
          <w:p w14:paraId="7F033D07">
            <w:pPr>
              <w:snapToGrid w:val="0"/>
              <w:spacing w:line="400" w:lineRule="exact"/>
              <w:jc w:val="center"/>
              <w:rPr>
                <w:rFonts w:hint="eastAsia" w:ascii="宋体" w:hAnsi="宋体" w:cs="宋体"/>
                <w:b w:val="0"/>
                <w:bCs/>
                <w:color w:val="auto"/>
                <w:kern w:val="0"/>
                <w:szCs w:val="21"/>
                <w:highlight w:val="none"/>
              </w:rPr>
            </w:pPr>
          </w:p>
          <w:p w14:paraId="7F033D08">
            <w:pPr>
              <w:snapToGrid w:val="0"/>
              <w:spacing w:line="400" w:lineRule="exact"/>
              <w:jc w:val="center"/>
              <w:rPr>
                <w:rFonts w:hint="eastAsia" w:ascii="宋体" w:hAnsi="宋体" w:cs="宋体"/>
                <w:b w:val="0"/>
                <w:bCs/>
                <w:color w:val="auto"/>
                <w:kern w:val="0"/>
                <w:szCs w:val="21"/>
                <w:highlight w:val="none"/>
              </w:rPr>
            </w:pPr>
          </w:p>
          <w:p w14:paraId="7F033D09">
            <w:pPr>
              <w:snapToGrid w:val="0"/>
              <w:spacing w:line="400" w:lineRule="exact"/>
              <w:jc w:val="center"/>
              <w:rPr>
                <w:rFonts w:hint="eastAsia" w:ascii="宋体" w:hAnsi="宋体" w:cs="宋体"/>
                <w:b w:val="0"/>
                <w:bCs/>
                <w:color w:val="auto"/>
                <w:kern w:val="0"/>
                <w:szCs w:val="21"/>
                <w:highlight w:val="none"/>
              </w:rPr>
            </w:pPr>
          </w:p>
          <w:p w14:paraId="7F033D0A">
            <w:pPr>
              <w:snapToGrid w:val="0"/>
              <w:spacing w:line="400" w:lineRule="exact"/>
              <w:jc w:val="center"/>
              <w:rPr>
                <w:rFonts w:hint="eastAsia" w:ascii="宋体" w:hAnsi="宋体" w:cs="宋体"/>
                <w:b w:val="0"/>
                <w:bCs/>
                <w:color w:val="auto"/>
                <w:kern w:val="0"/>
                <w:szCs w:val="21"/>
                <w:highlight w:val="none"/>
              </w:rPr>
            </w:pPr>
          </w:p>
          <w:p w14:paraId="7F033D0B">
            <w:pPr>
              <w:snapToGrid w:val="0"/>
              <w:spacing w:line="400" w:lineRule="exact"/>
              <w:jc w:val="center"/>
              <w:rPr>
                <w:rFonts w:hint="eastAsia" w:ascii="宋体" w:hAnsi="宋体" w:cs="宋体"/>
                <w:b w:val="0"/>
                <w:bCs/>
                <w:color w:val="auto"/>
                <w:kern w:val="0"/>
                <w:szCs w:val="21"/>
                <w:highlight w:val="none"/>
              </w:rPr>
            </w:pPr>
          </w:p>
          <w:p w14:paraId="7F033D0C">
            <w:pPr>
              <w:snapToGrid w:val="0"/>
              <w:spacing w:line="400" w:lineRule="exact"/>
              <w:jc w:val="center"/>
              <w:rPr>
                <w:rFonts w:hint="eastAsia" w:ascii="宋体" w:hAnsi="宋体" w:cs="宋体"/>
                <w:b w:val="0"/>
                <w:bCs/>
                <w:color w:val="auto"/>
                <w:kern w:val="0"/>
                <w:szCs w:val="21"/>
                <w:highlight w:val="none"/>
              </w:rPr>
            </w:pPr>
          </w:p>
          <w:p w14:paraId="7F033D0D">
            <w:pPr>
              <w:snapToGrid w:val="0"/>
              <w:spacing w:line="400" w:lineRule="exact"/>
              <w:jc w:val="center"/>
              <w:rPr>
                <w:rFonts w:hint="eastAsia" w:ascii="宋体" w:hAnsi="宋体" w:cs="宋体"/>
                <w:b w:val="0"/>
                <w:bCs/>
                <w:color w:val="auto"/>
                <w:kern w:val="0"/>
                <w:szCs w:val="21"/>
                <w:highlight w:val="none"/>
              </w:rPr>
            </w:pPr>
          </w:p>
          <w:p w14:paraId="7F033D0E">
            <w:pPr>
              <w:snapToGrid w:val="0"/>
              <w:spacing w:line="400" w:lineRule="exact"/>
              <w:jc w:val="center"/>
              <w:rPr>
                <w:rFonts w:hint="eastAsia" w:ascii="宋体" w:hAnsi="宋体" w:cs="宋体"/>
                <w:b w:val="0"/>
                <w:bCs/>
                <w:color w:val="auto"/>
                <w:kern w:val="0"/>
                <w:szCs w:val="21"/>
                <w:highlight w:val="none"/>
              </w:rPr>
            </w:pPr>
          </w:p>
          <w:p w14:paraId="7F033D0F">
            <w:pPr>
              <w:snapToGrid w:val="0"/>
              <w:spacing w:line="400" w:lineRule="exact"/>
              <w:jc w:val="center"/>
              <w:rPr>
                <w:rFonts w:hint="eastAsia" w:ascii="宋体" w:hAnsi="宋体" w:cs="宋体"/>
                <w:b w:val="0"/>
                <w:bCs/>
                <w:color w:val="auto"/>
                <w:kern w:val="0"/>
                <w:szCs w:val="21"/>
                <w:highlight w:val="none"/>
              </w:rPr>
            </w:pPr>
          </w:p>
          <w:p w14:paraId="7F033D10">
            <w:pPr>
              <w:snapToGrid w:val="0"/>
              <w:spacing w:line="400" w:lineRule="exact"/>
              <w:jc w:val="center"/>
              <w:rPr>
                <w:rFonts w:hint="eastAsia" w:ascii="宋体" w:hAnsi="宋体" w:cs="宋体"/>
                <w:b w:val="0"/>
                <w:bCs/>
                <w:color w:val="auto"/>
                <w:kern w:val="0"/>
                <w:szCs w:val="21"/>
                <w:highlight w:val="none"/>
              </w:rPr>
            </w:pPr>
          </w:p>
          <w:p w14:paraId="7F033D11">
            <w:pPr>
              <w:snapToGrid w:val="0"/>
              <w:spacing w:line="400" w:lineRule="exact"/>
              <w:jc w:val="center"/>
              <w:rPr>
                <w:rFonts w:hint="eastAsia" w:ascii="宋体" w:hAnsi="宋体" w:cs="宋体"/>
                <w:b w:val="0"/>
                <w:bCs/>
                <w:color w:val="auto"/>
                <w:kern w:val="0"/>
                <w:szCs w:val="21"/>
                <w:highlight w:val="none"/>
              </w:rPr>
            </w:pPr>
          </w:p>
          <w:p w14:paraId="7F033D12">
            <w:pPr>
              <w:snapToGrid w:val="0"/>
              <w:spacing w:line="400" w:lineRule="exact"/>
              <w:jc w:val="center"/>
              <w:rPr>
                <w:rFonts w:hint="eastAsia" w:ascii="宋体" w:hAnsi="宋体" w:cs="宋体"/>
                <w:b w:val="0"/>
                <w:bCs/>
                <w:color w:val="auto"/>
                <w:kern w:val="0"/>
                <w:szCs w:val="21"/>
                <w:highlight w:val="none"/>
              </w:rPr>
            </w:pPr>
          </w:p>
          <w:p w14:paraId="7F033D13">
            <w:pPr>
              <w:snapToGrid w:val="0"/>
              <w:spacing w:line="400" w:lineRule="exact"/>
              <w:jc w:val="center"/>
              <w:rPr>
                <w:rFonts w:hint="eastAsia" w:ascii="宋体" w:hAnsi="宋体" w:cs="宋体"/>
                <w:b w:val="0"/>
                <w:bCs/>
                <w:color w:val="auto"/>
                <w:kern w:val="0"/>
                <w:szCs w:val="21"/>
                <w:highlight w:val="none"/>
              </w:rPr>
            </w:pPr>
          </w:p>
          <w:p w14:paraId="7F033D14">
            <w:pPr>
              <w:snapToGrid w:val="0"/>
              <w:spacing w:line="400" w:lineRule="exact"/>
              <w:jc w:val="center"/>
              <w:rPr>
                <w:rFonts w:hint="eastAsia" w:ascii="宋体" w:hAnsi="宋体" w:cs="宋体"/>
                <w:b w:val="0"/>
                <w:bCs/>
                <w:color w:val="auto"/>
                <w:kern w:val="0"/>
                <w:szCs w:val="21"/>
                <w:highlight w:val="none"/>
              </w:rPr>
            </w:pPr>
          </w:p>
          <w:p w14:paraId="7F033D15">
            <w:pPr>
              <w:snapToGrid w:val="0"/>
              <w:spacing w:line="400" w:lineRule="exact"/>
              <w:jc w:val="center"/>
              <w:rPr>
                <w:rFonts w:hint="eastAsia" w:ascii="宋体" w:hAnsi="宋体" w:cs="宋体"/>
                <w:b w:val="0"/>
                <w:bCs/>
                <w:color w:val="auto"/>
                <w:kern w:val="0"/>
                <w:szCs w:val="21"/>
                <w:highlight w:val="none"/>
              </w:rPr>
            </w:pPr>
          </w:p>
          <w:p w14:paraId="7F033D16">
            <w:pPr>
              <w:snapToGrid w:val="0"/>
              <w:spacing w:line="400" w:lineRule="exact"/>
              <w:jc w:val="center"/>
              <w:rPr>
                <w:rFonts w:hint="eastAsia" w:ascii="宋体" w:hAnsi="宋体" w:cs="宋体"/>
                <w:b w:val="0"/>
                <w:bCs/>
                <w:color w:val="auto"/>
                <w:kern w:val="0"/>
                <w:szCs w:val="21"/>
                <w:highlight w:val="none"/>
              </w:rPr>
            </w:pPr>
          </w:p>
          <w:p w14:paraId="7F033D17">
            <w:pPr>
              <w:snapToGrid w:val="0"/>
              <w:spacing w:line="400" w:lineRule="exact"/>
              <w:jc w:val="center"/>
              <w:rPr>
                <w:rFonts w:hint="eastAsia" w:ascii="宋体" w:hAnsi="宋体" w:cs="宋体"/>
                <w:b w:val="0"/>
                <w:bCs/>
                <w:color w:val="auto"/>
                <w:kern w:val="0"/>
                <w:szCs w:val="21"/>
                <w:highlight w:val="none"/>
              </w:rPr>
            </w:pPr>
          </w:p>
          <w:p w14:paraId="7F033D18">
            <w:pPr>
              <w:snapToGrid w:val="0"/>
              <w:spacing w:line="400" w:lineRule="exact"/>
              <w:jc w:val="center"/>
              <w:rPr>
                <w:rFonts w:hint="eastAsia" w:ascii="宋体" w:hAnsi="宋体" w:cs="宋体"/>
                <w:b w:val="0"/>
                <w:bCs/>
                <w:color w:val="auto"/>
                <w:kern w:val="0"/>
                <w:szCs w:val="21"/>
                <w:highlight w:val="none"/>
              </w:rPr>
            </w:pPr>
          </w:p>
          <w:p w14:paraId="7F033D19">
            <w:pPr>
              <w:snapToGrid w:val="0"/>
              <w:spacing w:line="400" w:lineRule="exact"/>
              <w:jc w:val="center"/>
              <w:rPr>
                <w:rFonts w:hint="eastAsia" w:ascii="宋体" w:hAnsi="宋体" w:cs="宋体"/>
                <w:b w:val="0"/>
                <w:bCs/>
                <w:color w:val="auto"/>
                <w:kern w:val="0"/>
                <w:szCs w:val="21"/>
                <w:highlight w:val="none"/>
              </w:rPr>
            </w:pPr>
          </w:p>
          <w:p w14:paraId="7F033D1A">
            <w:pPr>
              <w:snapToGrid w:val="0"/>
              <w:spacing w:line="400" w:lineRule="exact"/>
              <w:jc w:val="center"/>
              <w:rPr>
                <w:rFonts w:hint="eastAsia" w:ascii="宋体" w:hAnsi="宋体" w:cs="宋体"/>
                <w:b w:val="0"/>
                <w:bCs/>
                <w:color w:val="auto"/>
                <w:kern w:val="0"/>
                <w:szCs w:val="21"/>
                <w:highlight w:val="none"/>
              </w:rPr>
            </w:pPr>
          </w:p>
          <w:p w14:paraId="7F033D1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1.4.1</w:t>
            </w:r>
          </w:p>
          <w:p w14:paraId="7F033D1C">
            <w:pPr>
              <w:snapToGrid w:val="0"/>
              <w:spacing w:line="400" w:lineRule="exact"/>
              <w:jc w:val="center"/>
              <w:rPr>
                <w:rFonts w:hint="eastAsia" w:ascii="宋体" w:hAnsi="宋体" w:cs="宋体"/>
                <w:b w:val="0"/>
                <w:bCs/>
                <w:color w:val="auto"/>
                <w:kern w:val="0"/>
                <w:szCs w:val="21"/>
                <w:highlight w:val="none"/>
              </w:rPr>
            </w:pPr>
          </w:p>
          <w:p w14:paraId="7F033D1D">
            <w:pPr>
              <w:snapToGrid w:val="0"/>
              <w:spacing w:line="400" w:lineRule="exact"/>
              <w:jc w:val="center"/>
              <w:rPr>
                <w:rFonts w:hint="eastAsia" w:ascii="宋体" w:hAnsi="宋体" w:cs="宋体"/>
                <w:b w:val="0"/>
                <w:bCs/>
                <w:color w:val="auto"/>
                <w:kern w:val="0"/>
                <w:szCs w:val="21"/>
                <w:highlight w:val="none"/>
              </w:rPr>
            </w:pPr>
          </w:p>
          <w:p w14:paraId="7F033D1E">
            <w:pPr>
              <w:snapToGrid w:val="0"/>
              <w:spacing w:line="400" w:lineRule="exact"/>
              <w:jc w:val="center"/>
              <w:rPr>
                <w:rFonts w:hint="eastAsia" w:ascii="宋体" w:hAnsi="宋体" w:cs="宋体"/>
                <w:b w:val="0"/>
                <w:bCs/>
                <w:color w:val="auto"/>
                <w:kern w:val="0"/>
                <w:szCs w:val="21"/>
                <w:highlight w:val="none"/>
              </w:rPr>
            </w:pPr>
          </w:p>
          <w:p w14:paraId="7F033D1F">
            <w:pPr>
              <w:snapToGrid w:val="0"/>
              <w:spacing w:line="400" w:lineRule="exact"/>
              <w:jc w:val="center"/>
              <w:rPr>
                <w:rFonts w:hint="eastAsia" w:ascii="宋体" w:hAnsi="宋体" w:cs="宋体"/>
                <w:b w:val="0"/>
                <w:bCs/>
                <w:color w:val="auto"/>
                <w:kern w:val="0"/>
                <w:szCs w:val="21"/>
                <w:highlight w:val="none"/>
              </w:rPr>
            </w:pPr>
          </w:p>
          <w:p w14:paraId="7F033D20">
            <w:pPr>
              <w:snapToGrid w:val="0"/>
              <w:spacing w:line="400" w:lineRule="exact"/>
              <w:jc w:val="center"/>
              <w:rPr>
                <w:rFonts w:hint="eastAsia" w:ascii="宋体" w:hAnsi="宋体" w:cs="宋体"/>
                <w:b w:val="0"/>
                <w:bCs/>
                <w:color w:val="auto"/>
                <w:kern w:val="0"/>
                <w:szCs w:val="21"/>
                <w:highlight w:val="none"/>
              </w:rPr>
            </w:pPr>
          </w:p>
          <w:p w14:paraId="7F033D21">
            <w:pPr>
              <w:snapToGrid w:val="0"/>
              <w:spacing w:line="400" w:lineRule="exact"/>
              <w:jc w:val="center"/>
              <w:rPr>
                <w:rFonts w:hint="eastAsia" w:ascii="宋体" w:hAnsi="宋体" w:cs="宋体"/>
                <w:b w:val="0"/>
                <w:bCs/>
                <w:color w:val="auto"/>
                <w:kern w:val="0"/>
                <w:szCs w:val="21"/>
                <w:highlight w:val="none"/>
              </w:rPr>
            </w:pPr>
          </w:p>
          <w:p w14:paraId="7F033D22">
            <w:pPr>
              <w:snapToGrid w:val="0"/>
              <w:spacing w:line="400" w:lineRule="exact"/>
              <w:jc w:val="center"/>
              <w:rPr>
                <w:rFonts w:hint="eastAsia" w:ascii="宋体" w:hAnsi="宋体" w:cs="宋体"/>
                <w:b w:val="0"/>
                <w:bCs/>
                <w:color w:val="auto"/>
                <w:kern w:val="0"/>
                <w:szCs w:val="21"/>
                <w:highlight w:val="none"/>
              </w:rPr>
            </w:pPr>
          </w:p>
          <w:p w14:paraId="7F033D23">
            <w:pPr>
              <w:snapToGrid w:val="0"/>
              <w:spacing w:line="400" w:lineRule="exact"/>
              <w:jc w:val="center"/>
              <w:rPr>
                <w:rFonts w:hint="eastAsia" w:ascii="宋体" w:hAnsi="宋体" w:cs="宋体"/>
                <w:b w:val="0"/>
                <w:bCs/>
                <w:color w:val="auto"/>
                <w:kern w:val="0"/>
                <w:szCs w:val="21"/>
                <w:highlight w:val="none"/>
              </w:rPr>
            </w:pPr>
          </w:p>
          <w:p w14:paraId="7F033D24">
            <w:pPr>
              <w:snapToGrid w:val="0"/>
              <w:spacing w:line="400" w:lineRule="exact"/>
              <w:jc w:val="center"/>
              <w:rPr>
                <w:rFonts w:hint="eastAsia" w:ascii="宋体" w:hAnsi="宋体" w:cs="宋体"/>
                <w:b w:val="0"/>
                <w:bCs/>
                <w:color w:val="auto"/>
                <w:kern w:val="0"/>
                <w:szCs w:val="21"/>
                <w:highlight w:val="none"/>
              </w:rPr>
            </w:pPr>
          </w:p>
          <w:p w14:paraId="7F033D25">
            <w:pPr>
              <w:snapToGrid w:val="0"/>
              <w:spacing w:line="400" w:lineRule="exact"/>
              <w:jc w:val="center"/>
              <w:rPr>
                <w:rFonts w:hint="eastAsia" w:ascii="宋体" w:hAnsi="宋体" w:cs="宋体"/>
                <w:b w:val="0"/>
                <w:bCs/>
                <w:color w:val="auto"/>
                <w:kern w:val="0"/>
                <w:szCs w:val="21"/>
                <w:highlight w:val="none"/>
              </w:rPr>
            </w:pPr>
          </w:p>
          <w:p w14:paraId="7F033D26">
            <w:pPr>
              <w:snapToGrid w:val="0"/>
              <w:spacing w:line="400" w:lineRule="exact"/>
              <w:jc w:val="center"/>
              <w:rPr>
                <w:rFonts w:hint="eastAsia" w:ascii="宋体" w:hAnsi="宋体" w:cs="宋体"/>
                <w:b w:val="0"/>
                <w:bCs/>
                <w:color w:val="auto"/>
                <w:kern w:val="0"/>
                <w:szCs w:val="21"/>
                <w:highlight w:val="none"/>
              </w:rPr>
            </w:pPr>
          </w:p>
          <w:p w14:paraId="7F033D27">
            <w:pPr>
              <w:snapToGrid w:val="0"/>
              <w:spacing w:line="400" w:lineRule="exact"/>
              <w:jc w:val="center"/>
              <w:rPr>
                <w:rFonts w:hint="eastAsia" w:ascii="宋体" w:hAnsi="宋体" w:cs="宋体"/>
                <w:b w:val="0"/>
                <w:bCs/>
                <w:color w:val="auto"/>
                <w:kern w:val="0"/>
                <w:szCs w:val="21"/>
                <w:highlight w:val="none"/>
              </w:rPr>
            </w:pPr>
          </w:p>
          <w:p w14:paraId="7F033D28">
            <w:pPr>
              <w:snapToGrid w:val="0"/>
              <w:spacing w:line="400" w:lineRule="exact"/>
              <w:jc w:val="center"/>
              <w:rPr>
                <w:rFonts w:hint="eastAsia" w:ascii="宋体" w:hAnsi="宋体" w:cs="宋体"/>
                <w:b w:val="0"/>
                <w:bCs/>
                <w:color w:val="auto"/>
                <w:kern w:val="0"/>
                <w:szCs w:val="21"/>
                <w:highlight w:val="none"/>
              </w:rPr>
            </w:pPr>
          </w:p>
          <w:p w14:paraId="7F033D29">
            <w:pPr>
              <w:snapToGrid w:val="0"/>
              <w:spacing w:line="400" w:lineRule="exact"/>
              <w:jc w:val="center"/>
              <w:rPr>
                <w:rFonts w:hint="eastAsia" w:ascii="宋体" w:hAnsi="宋体" w:cs="宋体"/>
                <w:b w:val="0"/>
                <w:bCs/>
                <w:color w:val="auto"/>
                <w:kern w:val="0"/>
                <w:szCs w:val="21"/>
                <w:highlight w:val="none"/>
              </w:rPr>
            </w:pPr>
          </w:p>
          <w:p w14:paraId="7F033D2A">
            <w:pPr>
              <w:snapToGrid w:val="0"/>
              <w:spacing w:line="400" w:lineRule="exact"/>
              <w:jc w:val="center"/>
              <w:rPr>
                <w:rFonts w:hint="eastAsia" w:ascii="宋体" w:hAnsi="宋体" w:cs="宋体"/>
                <w:b w:val="0"/>
                <w:bCs/>
                <w:color w:val="auto"/>
                <w:kern w:val="0"/>
                <w:szCs w:val="21"/>
                <w:highlight w:val="none"/>
              </w:rPr>
            </w:pPr>
          </w:p>
          <w:p w14:paraId="7F033D2B">
            <w:pPr>
              <w:snapToGrid w:val="0"/>
              <w:spacing w:line="400" w:lineRule="exact"/>
              <w:jc w:val="center"/>
              <w:rPr>
                <w:rFonts w:hint="eastAsia" w:ascii="宋体" w:hAnsi="宋体" w:cs="宋体"/>
                <w:b w:val="0"/>
                <w:bCs/>
                <w:color w:val="auto"/>
                <w:kern w:val="0"/>
                <w:szCs w:val="21"/>
                <w:highlight w:val="none"/>
              </w:rPr>
            </w:pPr>
          </w:p>
          <w:p w14:paraId="7F033D2C">
            <w:pPr>
              <w:snapToGrid w:val="0"/>
              <w:spacing w:line="400" w:lineRule="exact"/>
              <w:jc w:val="center"/>
              <w:rPr>
                <w:rFonts w:hint="eastAsia" w:ascii="宋体" w:hAnsi="宋体" w:cs="宋体"/>
                <w:b w:val="0"/>
                <w:bCs/>
                <w:color w:val="auto"/>
                <w:kern w:val="0"/>
                <w:szCs w:val="21"/>
                <w:highlight w:val="none"/>
              </w:rPr>
            </w:pPr>
          </w:p>
          <w:p w14:paraId="7F033D2D">
            <w:pPr>
              <w:snapToGrid w:val="0"/>
              <w:spacing w:line="400" w:lineRule="exact"/>
              <w:jc w:val="center"/>
              <w:rPr>
                <w:rFonts w:hint="eastAsia" w:ascii="宋体" w:hAnsi="宋体" w:cs="宋体"/>
                <w:b w:val="0"/>
                <w:bCs/>
                <w:color w:val="auto"/>
                <w:kern w:val="0"/>
                <w:szCs w:val="21"/>
                <w:highlight w:val="none"/>
              </w:rPr>
            </w:pPr>
          </w:p>
          <w:p w14:paraId="7F033D2F">
            <w:pPr>
              <w:snapToGrid w:val="0"/>
              <w:spacing w:line="400" w:lineRule="exact"/>
              <w:jc w:val="both"/>
              <w:rPr>
                <w:rFonts w:hint="eastAsia" w:ascii="宋体" w:hAnsi="宋体" w:cs="宋体"/>
                <w:b w:val="0"/>
                <w:bCs/>
                <w:color w:val="auto"/>
                <w:kern w:val="0"/>
                <w:szCs w:val="21"/>
                <w:highlight w:val="none"/>
              </w:rPr>
            </w:pPr>
          </w:p>
          <w:p w14:paraId="7F033D3D">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1.4.1</w:t>
            </w:r>
          </w:p>
          <w:p w14:paraId="7F033D3E">
            <w:pPr>
              <w:snapToGrid w:val="0"/>
              <w:spacing w:line="400" w:lineRule="exact"/>
              <w:jc w:val="center"/>
              <w:rPr>
                <w:rFonts w:hint="eastAsia" w:ascii="宋体" w:hAnsi="宋体" w:cs="宋体"/>
                <w:b w:val="0"/>
                <w:bCs/>
                <w:color w:val="auto"/>
                <w:kern w:val="0"/>
                <w:szCs w:val="21"/>
                <w:highlight w:val="none"/>
              </w:rPr>
            </w:pPr>
          </w:p>
          <w:p w14:paraId="7F033D4B">
            <w:pPr>
              <w:snapToGrid w:val="0"/>
              <w:spacing w:line="400" w:lineRule="exact"/>
              <w:rPr>
                <w:rFonts w:hint="eastAsia" w:ascii="宋体" w:hAnsi="宋体" w:cs="宋体"/>
                <w:b w:val="0"/>
                <w:bCs/>
                <w:color w:val="auto"/>
                <w:kern w:val="0"/>
                <w:szCs w:val="21"/>
                <w:highlight w:val="none"/>
              </w:rPr>
            </w:pPr>
          </w:p>
        </w:tc>
        <w:tc>
          <w:tcPr>
            <w:tcW w:w="1754" w:type="dxa"/>
            <w:vAlign w:val="center"/>
          </w:tcPr>
          <w:p w14:paraId="7F033D4C">
            <w:pPr>
              <w:snapToGrid w:val="0"/>
              <w:spacing w:line="400" w:lineRule="exact"/>
              <w:jc w:val="center"/>
              <w:rPr>
                <w:rFonts w:hint="eastAsia" w:ascii="宋体" w:hAnsi="宋体" w:cs="宋体"/>
                <w:b w:val="0"/>
                <w:bCs/>
                <w:color w:val="auto"/>
                <w:kern w:val="0"/>
                <w:szCs w:val="21"/>
                <w:highlight w:val="none"/>
              </w:rPr>
            </w:pPr>
          </w:p>
          <w:p w14:paraId="7F033D4D">
            <w:pPr>
              <w:snapToGrid w:val="0"/>
              <w:spacing w:line="400" w:lineRule="exact"/>
              <w:jc w:val="center"/>
              <w:rPr>
                <w:rFonts w:hint="eastAsia" w:ascii="宋体" w:hAnsi="宋体" w:cs="宋体"/>
                <w:b w:val="0"/>
                <w:bCs/>
                <w:color w:val="auto"/>
                <w:kern w:val="0"/>
                <w:szCs w:val="21"/>
                <w:highlight w:val="none"/>
              </w:rPr>
            </w:pPr>
          </w:p>
          <w:p w14:paraId="7F033D4E">
            <w:pPr>
              <w:snapToGrid w:val="0"/>
              <w:spacing w:line="400" w:lineRule="exact"/>
              <w:jc w:val="center"/>
              <w:rPr>
                <w:rFonts w:hint="eastAsia" w:ascii="宋体" w:hAnsi="宋体" w:cs="宋体"/>
                <w:b w:val="0"/>
                <w:bCs/>
                <w:color w:val="auto"/>
                <w:kern w:val="0"/>
                <w:szCs w:val="21"/>
                <w:highlight w:val="none"/>
              </w:rPr>
            </w:pPr>
          </w:p>
          <w:p w14:paraId="7F033D4F">
            <w:pPr>
              <w:snapToGrid w:val="0"/>
              <w:spacing w:line="400" w:lineRule="exact"/>
              <w:jc w:val="center"/>
              <w:rPr>
                <w:rFonts w:hint="eastAsia" w:ascii="宋体" w:hAnsi="宋体" w:cs="宋体"/>
                <w:b w:val="0"/>
                <w:bCs/>
                <w:color w:val="auto"/>
                <w:kern w:val="0"/>
                <w:szCs w:val="21"/>
                <w:highlight w:val="none"/>
              </w:rPr>
            </w:pPr>
          </w:p>
          <w:p w14:paraId="7F033D50">
            <w:pPr>
              <w:snapToGrid w:val="0"/>
              <w:spacing w:line="400" w:lineRule="exact"/>
              <w:jc w:val="center"/>
              <w:rPr>
                <w:rFonts w:hint="eastAsia" w:ascii="宋体" w:hAnsi="宋体" w:cs="宋体"/>
                <w:b w:val="0"/>
                <w:bCs/>
                <w:color w:val="auto"/>
                <w:kern w:val="0"/>
                <w:szCs w:val="21"/>
                <w:highlight w:val="none"/>
              </w:rPr>
            </w:pPr>
          </w:p>
          <w:p w14:paraId="7F033D51">
            <w:pPr>
              <w:snapToGrid w:val="0"/>
              <w:spacing w:line="400" w:lineRule="exact"/>
              <w:jc w:val="center"/>
              <w:rPr>
                <w:rFonts w:hint="eastAsia" w:ascii="宋体" w:hAnsi="宋体" w:cs="宋体"/>
                <w:b w:val="0"/>
                <w:bCs/>
                <w:color w:val="auto"/>
                <w:kern w:val="0"/>
                <w:szCs w:val="21"/>
                <w:highlight w:val="none"/>
              </w:rPr>
            </w:pPr>
          </w:p>
          <w:p w14:paraId="7F033D52">
            <w:pPr>
              <w:snapToGrid w:val="0"/>
              <w:spacing w:line="400" w:lineRule="exact"/>
              <w:jc w:val="center"/>
              <w:rPr>
                <w:rFonts w:hint="eastAsia" w:ascii="宋体" w:hAnsi="宋体" w:cs="宋体"/>
                <w:b w:val="0"/>
                <w:bCs/>
                <w:color w:val="auto"/>
                <w:kern w:val="0"/>
                <w:szCs w:val="21"/>
                <w:highlight w:val="none"/>
              </w:rPr>
            </w:pPr>
          </w:p>
          <w:p w14:paraId="7F033D53">
            <w:pPr>
              <w:snapToGrid w:val="0"/>
              <w:spacing w:line="400" w:lineRule="exact"/>
              <w:jc w:val="center"/>
              <w:rPr>
                <w:rFonts w:hint="eastAsia" w:ascii="宋体" w:hAnsi="宋体" w:cs="宋体"/>
                <w:b w:val="0"/>
                <w:bCs/>
                <w:color w:val="auto"/>
                <w:kern w:val="0"/>
                <w:szCs w:val="21"/>
                <w:highlight w:val="none"/>
              </w:rPr>
            </w:pPr>
          </w:p>
          <w:p w14:paraId="7F033D54">
            <w:pPr>
              <w:snapToGrid w:val="0"/>
              <w:spacing w:line="400" w:lineRule="exact"/>
              <w:jc w:val="center"/>
              <w:rPr>
                <w:rFonts w:hint="eastAsia" w:ascii="宋体" w:hAnsi="宋体" w:cs="宋体"/>
                <w:b w:val="0"/>
                <w:bCs/>
                <w:color w:val="auto"/>
                <w:kern w:val="0"/>
                <w:szCs w:val="21"/>
                <w:highlight w:val="none"/>
              </w:rPr>
            </w:pPr>
          </w:p>
          <w:p w14:paraId="7F033D55">
            <w:pPr>
              <w:snapToGrid w:val="0"/>
              <w:spacing w:line="400" w:lineRule="exact"/>
              <w:jc w:val="center"/>
              <w:rPr>
                <w:rFonts w:hint="eastAsia" w:ascii="宋体" w:hAnsi="宋体" w:cs="宋体"/>
                <w:b w:val="0"/>
                <w:bCs/>
                <w:color w:val="auto"/>
                <w:kern w:val="0"/>
                <w:szCs w:val="21"/>
                <w:highlight w:val="none"/>
              </w:rPr>
            </w:pPr>
          </w:p>
          <w:p w14:paraId="7F033D56">
            <w:pPr>
              <w:snapToGrid w:val="0"/>
              <w:spacing w:line="400" w:lineRule="exact"/>
              <w:jc w:val="center"/>
              <w:rPr>
                <w:rFonts w:hint="eastAsia" w:ascii="宋体" w:hAnsi="宋体" w:cs="宋体"/>
                <w:b w:val="0"/>
                <w:bCs/>
                <w:color w:val="auto"/>
                <w:kern w:val="0"/>
                <w:szCs w:val="21"/>
                <w:highlight w:val="none"/>
              </w:rPr>
            </w:pPr>
          </w:p>
          <w:p w14:paraId="7F033D57">
            <w:pPr>
              <w:snapToGrid w:val="0"/>
              <w:spacing w:line="400" w:lineRule="exact"/>
              <w:jc w:val="center"/>
              <w:rPr>
                <w:rFonts w:hint="eastAsia" w:ascii="宋体" w:hAnsi="宋体" w:cs="宋体"/>
                <w:b w:val="0"/>
                <w:bCs/>
                <w:color w:val="auto"/>
                <w:kern w:val="0"/>
                <w:szCs w:val="21"/>
                <w:highlight w:val="none"/>
              </w:rPr>
            </w:pPr>
          </w:p>
          <w:p w14:paraId="7F033D58">
            <w:pPr>
              <w:snapToGrid w:val="0"/>
              <w:spacing w:line="400" w:lineRule="exact"/>
              <w:jc w:val="center"/>
              <w:rPr>
                <w:rFonts w:hint="eastAsia" w:ascii="宋体" w:hAnsi="宋体" w:cs="宋体"/>
                <w:b w:val="0"/>
                <w:bCs/>
                <w:color w:val="auto"/>
                <w:kern w:val="0"/>
                <w:szCs w:val="21"/>
                <w:highlight w:val="none"/>
              </w:rPr>
            </w:pPr>
          </w:p>
          <w:p w14:paraId="7F033D59">
            <w:pPr>
              <w:snapToGrid w:val="0"/>
              <w:spacing w:line="400" w:lineRule="exact"/>
              <w:jc w:val="center"/>
              <w:rPr>
                <w:rFonts w:hint="eastAsia" w:ascii="宋体" w:hAnsi="宋体" w:cs="宋体"/>
                <w:b w:val="0"/>
                <w:bCs/>
                <w:color w:val="auto"/>
                <w:kern w:val="0"/>
                <w:szCs w:val="21"/>
                <w:highlight w:val="none"/>
              </w:rPr>
            </w:pPr>
          </w:p>
          <w:p w14:paraId="7F033D5A">
            <w:pPr>
              <w:snapToGrid w:val="0"/>
              <w:spacing w:line="400" w:lineRule="exact"/>
              <w:jc w:val="center"/>
              <w:rPr>
                <w:rFonts w:hint="eastAsia" w:ascii="宋体" w:hAnsi="宋体" w:cs="宋体"/>
                <w:b w:val="0"/>
                <w:bCs/>
                <w:color w:val="auto"/>
                <w:kern w:val="0"/>
                <w:szCs w:val="21"/>
                <w:highlight w:val="none"/>
              </w:rPr>
            </w:pPr>
          </w:p>
          <w:p w14:paraId="7F033D5B">
            <w:pPr>
              <w:snapToGrid w:val="0"/>
              <w:spacing w:line="400" w:lineRule="exact"/>
              <w:jc w:val="center"/>
              <w:rPr>
                <w:rFonts w:hint="eastAsia" w:ascii="宋体" w:hAnsi="宋体" w:cs="宋体"/>
                <w:b w:val="0"/>
                <w:bCs/>
                <w:color w:val="auto"/>
                <w:kern w:val="0"/>
                <w:szCs w:val="21"/>
                <w:highlight w:val="none"/>
              </w:rPr>
            </w:pPr>
          </w:p>
          <w:p w14:paraId="7F033D5C">
            <w:pPr>
              <w:snapToGrid w:val="0"/>
              <w:spacing w:line="400" w:lineRule="exact"/>
              <w:jc w:val="center"/>
              <w:rPr>
                <w:rFonts w:hint="eastAsia" w:ascii="宋体" w:hAnsi="宋体" w:cs="宋体"/>
                <w:b w:val="0"/>
                <w:bCs/>
                <w:color w:val="auto"/>
                <w:kern w:val="0"/>
                <w:szCs w:val="21"/>
                <w:highlight w:val="none"/>
              </w:rPr>
            </w:pPr>
          </w:p>
          <w:p w14:paraId="7F033D5D">
            <w:pPr>
              <w:snapToGrid w:val="0"/>
              <w:spacing w:line="400" w:lineRule="exact"/>
              <w:jc w:val="center"/>
              <w:rPr>
                <w:rFonts w:hint="eastAsia" w:ascii="宋体" w:hAnsi="宋体" w:cs="宋体"/>
                <w:b w:val="0"/>
                <w:bCs/>
                <w:color w:val="auto"/>
                <w:kern w:val="0"/>
                <w:szCs w:val="21"/>
                <w:highlight w:val="none"/>
              </w:rPr>
            </w:pPr>
          </w:p>
          <w:p w14:paraId="7F033D5E">
            <w:pPr>
              <w:snapToGrid w:val="0"/>
              <w:spacing w:line="400" w:lineRule="exact"/>
              <w:jc w:val="center"/>
              <w:rPr>
                <w:rFonts w:hint="eastAsia" w:ascii="宋体" w:hAnsi="宋体" w:cs="宋体"/>
                <w:b w:val="0"/>
                <w:bCs/>
                <w:color w:val="auto"/>
                <w:kern w:val="0"/>
                <w:szCs w:val="21"/>
                <w:highlight w:val="none"/>
              </w:rPr>
            </w:pPr>
          </w:p>
          <w:p w14:paraId="7F033D5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投标人资质条件、能力和信誉</w:t>
            </w:r>
          </w:p>
          <w:p w14:paraId="7F033D60">
            <w:pPr>
              <w:snapToGrid w:val="0"/>
              <w:spacing w:line="400" w:lineRule="exact"/>
              <w:jc w:val="center"/>
              <w:rPr>
                <w:rFonts w:hint="eastAsia" w:ascii="宋体" w:hAnsi="宋体" w:cs="宋体"/>
                <w:b w:val="0"/>
                <w:bCs/>
                <w:color w:val="auto"/>
                <w:kern w:val="0"/>
                <w:szCs w:val="21"/>
                <w:highlight w:val="none"/>
              </w:rPr>
            </w:pPr>
          </w:p>
          <w:p w14:paraId="7F033D61">
            <w:pPr>
              <w:snapToGrid w:val="0"/>
              <w:spacing w:line="400" w:lineRule="exact"/>
              <w:jc w:val="center"/>
              <w:rPr>
                <w:rFonts w:hint="eastAsia" w:ascii="宋体" w:hAnsi="宋体" w:cs="宋体"/>
                <w:b w:val="0"/>
                <w:bCs/>
                <w:color w:val="auto"/>
                <w:kern w:val="0"/>
                <w:szCs w:val="21"/>
                <w:highlight w:val="none"/>
              </w:rPr>
            </w:pPr>
          </w:p>
          <w:p w14:paraId="7F033D62">
            <w:pPr>
              <w:snapToGrid w:val="0"/>
              <w:spacing w:line="400" w:lineRule="exact"/>
              <w:jc w:val="center"/>
              <w:rPr>
                <w:rFonts w:hint="eastAsia" w:ascii="宋体" w:hAnsi="宋体" w:cs="宋体"/>
                <w:b w:val="0"/>
                <w:bCs/>
                <w:color w:val="auto"/>
                <w:kern w:val="0"/>
                <w:szCs w:val="21"/>
                <w:highlight w:val="none"/>
              </w:rPr>
            </w:pPr>
          </w:p>
          <w:p w14:paraId="7F033D63">
            <w:pPr>
              <w:snapToGrid w:val="0"/>
              <w:spacing w:line="400" w:lineRule="exact"/>
              <w:jc w:val="center"/>
              <w:rPr>
                <w:rFonts w:hint="eastAsia" w:ascii="宋体" w:hAnsi="宋体" w:cs="宋体"/>
                <w:b w:val="0"/>
                <w:bCs/>
                <w:color w:val="auto"/>
                <w:kern w:val="0"/>
                <w:szCs w:val="21"/>
                <w:highlight w:val="none"/>
              </w:rPr>
            </w:pPr>
          </w:p>
          <w:p w14:paraId="7F033D64">
            <w:pPr>
              <w:snapToGrid w:val="0"/>
              <w:spacing w:line="400" w:lineRule="exact"/>
              <w:jc w:val="center"/>
              <w:rPr>
                <w:rFonts w:hint="eastAsia" w:ascii="宋体" w:hAnsi="宋体" w:cs="宋体"/>
                <w:b w:val="0"/>
                <w:bCs/>
                <w:color w:val="auto"/>
                <w:kern w:val="0"/>
                <w:szCs w:val="21"/>
                <w:highlight w:val="none"/>
              </w:rPr>
            </w:pPr>
          </w:p>
          <w:p w14:paraId="7F033D65">
            <w:pPr>
              <w:snapToGrid w:val="0"/>
              <w:spacing w:line="400" w:lineRule="exact"/>
              <w:jc w:val="center"/>
              <w:rPr>
                <w:rFonts w:hint="eastAsia" w:ascii="宋体" w:hAnsi="宋体" w:cs="宋体"/>
                <w:b w:val="0"/>
                <w:bCs/>
                <w:color w:val="auto"/>
                <w:kern w:val="0"/>
                <w:szCs w:val="21"/>
                <w:highlight w:val="none"/>
              </w:rPr>
            </w:pPr>
          </w:p>
          <w:p w14:paraId="7F033D66">
            <w:pPr>
              <w:snapToGrid w:val="0"/>
              <w:spacing w:line="400" w:lineRule="exact"/>
              <w:jc w:val="center"/>
              <w:rPr>
                <w:rFonts w:hint="eastAsia" w:ascii="宋体" w:hAnsi="宋体" w:cs="宋体"/>
                <w:b w:val="0"/>
                <w:bCs/>
                <w:color w:val="auto"/>
                <w:kern w:val="0"/>
                <w:szCs w:val="21"/>
                <w:highlight w:val="none"/>
              </w:rPr>
            </w:pPr>
          </w:p>
          <w:p w14:paraId="7F033D67">
            <w:pPr>
              <w:snapToGrid w:val="0"/>
              <w:spacing w:line="400" w:lineRule="exact"/>
              <w:jc w:val="center"/>
              <w:rPr>
                <w:rFonts w:hint="eastAsia" w:ascii="宋体" w:hAnsi="宋体" w:cs="宋体"/>
                <w:b w:val="0"/>
                <w:bCs/>
                <w:color w:val="auto"/>
                <w:kern w:val="0"/>
                <w:szCs w:val="21"/>
                <w:highlight w:val="none"/>
              </w:rPr>
            </w:pPr>
          </w:p>
          <w:p w14:paraId="7F033D68">
            <w:pPr>
              <w:snapToGrid w:val="0"/>
              <w:spacing w:line="400" w:lineRule="exact"/>
              <w:jc w:val="center"/>
              <w:rPr>
                <w:rFonts w:hint="eastAsia" w:ascii="宋体" w:hAnsi="宋体" w:cs="宋体"/>
                <w:b w:val="0"/>
                <w:bCs/>
                <w:color w:val="auto"/>
                <w:kern w:val="0"/>
                <w:szCs w:val="21"/>
                <w:highlight w:val="none"/>
              </w:rPr>
            </w:pPr>
          </w:p>
          <w:p w14:paraId="7F033D69">
            <w:pPr>
              <w:snapToGrid w:val="0"/>
              <w:spacing w:line="400" w:lineRule="exact"/>
              <w:jc w:val="center"/>
              <w:rPr>
                <w:rFonts w:hint="eastAsia" w:ascii="宋体" w:hAnsi="宋体" w:cs="宋体"/>
                <w:b w:val="0"/>
                <w:bCs/>
                <w:color w:val="auto"/>
                <w:kern w:val="0"/>
                <w:szCs w:val="21"/>
                <w:highlight w:val="none"/>
              </w:rPr>
            </w:pPr>
          </w:p>
          <w:p w14:paraId="7F033D6A">
            <w:pPr>
              <w:snapToGrid w:val="0"/>
              <w:spacing w:line="400" w:lineRule="exact"/>
              <w:jc w:val="center"/>
              <w:rPr>
                <w:rFonts w:hint="eastAsia" w:ascii="宋体" w:hAnsi="宋体" w:cs="宋体"/>
                <w:b w:val="0"/>
                <w:bCs/>
                <w:color w:val="auto"/>
                <w:kern w:val="0"/>
                <w:szCs w:val="21"/>
                <w:highlight w:val="none"/>
              </w:rPr>
            </w:pPr>
          </w:p>
          <w:p w14:paraId="7F033D6B">
            <w:pPr>
              <w:snapToGrid w:val="0"/>
              <w:spacing w:line="400" w:lineRule="exact"/>
              <w:jc w:val="center"/>
              <w:rPr>
                <w:rFonts w:hint="eastAsia" w:ascii="宋体" w:hAnsi="宋体" w:cs="宋体"/>
                <w:b w:val="0"/>
                <w:bCs/>
                <w:color w:val="auto"/>
                <w:kern w:val="0"/>
                <w:szCs w:val="21"/>
                <w:highlight w:val="none"/>
              </w:rPr>
            </w:pPr>
          </w:p>
          <w:p w14:paraId="7F033D6C">
            <w:pPr>
              <w:snapToGrid w:val="0"/>
              <w:spacing w:line="400" w:lineRule="exact"/>
              <w:jc w:val="center"/>
              <w:rPr>
                <w:rFonts w:hint="eastAsia" w:ascii="宋体" w:hAnsi="宋体" w:cs="宋体"/>
                <w:b w:val="0"/>
                <w:bCs/>
                <w:color w:val="auto"/>
                <w:kern w:val="0"/>
                <w:szCs w:val="21"/>
                <w:highlight w:val="none"/>
              </w:rPr>
            </w:pPr>
          </w:p>
          <w:p w14:paraId="7F033D6D">
            <w:pPr>
              <w:snapToGrid w:val="0"/>
              <w:spacing w:line="400" w:lineRule="exact"/>
              <w:jc w:val="center"/>
              <w:rPr>
                <w:rFonts w:hint="eastAsia" w:ascii="宋体" w:hAnsi="宋体" w:cs="宋体"/>
                <w:b w:val="0"/>
                <w:bCs/>
                <w:color w:val="auto"/>
                <w:kern w:val="0"/>
                <w:szCs w:val="21"/>
                <w:highlight w:val="none"/>
              </w:rPr>
            </w:pPr>
          </w:p>
          <w:p w14:paraId="7F033D6E">
            <w:pPr>
              <w:snapToGrid w:val="0"/>
              <w:spacing w:line="400" w:lineRule="exact"/>
              <w:jc w:val="center"/>
              <w:rPr>
                <w:rFonts w:hint="eastAsia" w:ascii="宋体" w:hAnsi="宋体" w:cs="宋体"/>
                <w:b w:val="0"/>
                <w:bCs/>
                <w:color w:val="auto"/>
                <w:kern w:val="0"/>
                <w:szCs w:val="21"/>
                <w:highlight w:val="none"/>
              </w:rPr>
            </w:pPr>
          </w:p>
          <w:p w14:paraId="7F033D6F">
            <w:pPr>
              <w:snapToGrid w:val="0"/>
              <w:spacing w:line="400" w:lineRule="exact"/>
              <w:jc w:val="center"/>
              <w:rPr>
                <w:rFonts w:hint="eastAsia" w:ascii="宋体" w:hAnsi="宋体" w:cs="宋体"/>
                <w:b w:val="0"/>
                <w:bCs/>
                <w:color w:val="auto"/>
                <w:kern w:val="0"/>
                <w:szCs w:val="21"/>
                <w:highlight w:val="none"/>
              </w:rPr>
            </w:pPr>
          </w:p>
          <w:p w14:paraId="7F033D70">
            <w:pPr>
              <w:snapToGrid w:val="0"/>
              <w:spacing w:line="400" w:lineRule="exact"/>
              <w:jc w:val="center"/>
              <w:rPr>
                <w:rFonts w:hint="eastAsia" w:ascii="宋体" w:hAnsi="宋体" w:cs="宋体"/>
                <w:b w:val="0"/>
                <w:bCs/>
                <w:color w:val="auto"/>
                <w:kern w:val="0"/>
                <w:szCs w:val="21"/>
                <w:highlight w:val="none"/>
              </w:rPr>
            </w:pPr>
          </w:p>
          <w:p w14:paraId="7F033D71">
            <w:pPr>
              <w:snapToGrid w:val="0"/>
              <w:spacing w:line="400" w:lineRule="exact"/>
              <w:jc w:val="center"/>
              <w:rPr>
                <w:rFonts w:hint="eastAsia" w:ascii="宋体" w:hAnsi="宋体" w:cs="宋体"/>
                <w:b w:val="0"/>
                <w:bCs/>
                <w:color w:val="auto"/>
                <w:kern w:val="0"/>
                <w:szCs w:val="21"/>
                <w:highlight w:val="none"/>
              </w:rPr>
            </w:pPr>
          </w:p>
          <w:p w14:paraId="7F033D72">
            <w:pPr>
              <w:snapToGrid w:val="0"/>
              <w:spacing w:line="400" w:lineRule="exact"/>
              <w:jc w:val="center"/>
              <w:rPr>
                <w:rFonts w:hint="eastAsia" w:ascii="宋体" w:hAnsi="宋体" w:cs="宋体"/>
                <w:b w:val="0"/>
                <w:bCs/>
                <w:color w:val="auto"/>
                <w:kern w:val="0"/>
                <w:szCs w:val="21"/>
                <w:highlight w:val="none"/>
              </w:rPr>
            </w:pPr>
          </w:p>
          <w:p w14:paraId="7F033D73">
            <w:pPr>
              <w:snapToGrid w:val="0"/>
              <w:spacing w:line="400" w:lineRule="exact"/>
              <w:jc w:val="center"/>
              <w:rPr>
                <w:rFonts w:hint="eastAsia" w:ascii="宋体" w:hAnsi="宋体" w:cs="宋体"/>
                <w:b w:val="0"/>
                <w:bCs/>
                <w:color w:val="auto"/>
                <w:kern w:val="0"/>
                <w:szCs w:val="21"/>
                <w:highlight w:val="none"/>
              </w:rPr>
            </w:pPr>
          </w:p>
          <w:p w14:paraId="7F033D74">
            <w:pPr>
              <w:snapToGrid w:val="0"/>
              <w:spacing w:line="400" w:lineRule="exact"/>
              <w:jc w:val="center"/>
              <w:rPr>
                <w:rFonts w:hint="eastAsia" w:ascii="宋体" w:hAnsi="宋体" w:cs="宋体"/>
                <w:b w:val="0"/>
                <w:bCs/>
                <w:color w:val="auto"/>
                <w:kern w:val="0"/>
                <w:szCs w:val="21"/>
                <w:highlight w:val="none"/>
              </w:rPr>
            </w:pPr>
          </w:p>
          <w:p w14:paraId="7F033D75">
            <w:pPr>
              <w:snapToGrid w:val="0"/>
              <w:spacing w:line="400" w:lineRule="exact"/>
              <w:jc w:val="center"/>
              <w:rPr>
                <w:rFonts w:hint="eastAsia" w:ascii="宋体" w:hAnsi="宋体" w:cs="宋体"/>
                <w:b w:val="0"/>
                <w:bCs/>
                <w:color w:val="auto"/>
                <w:kern w:val="0"/>
                <w:szCs w:val="21"/>
                <w:highlight w:val="none"/>
              </w:rPr>
            </w:pPr>
          </w:p>
          <w:p w14:paraId="7F033D76">
            <w:pPr>
              <w:snapToGrid w:val="0"/>
              <w:spacing w:line="400" w:lineRule="exact"/>
              <w:jc w:val="center"/>
              <w:rPr>
                <w:rFonts w:hint="eastAsia" w:ascii="宋体" w:hAnsi="宋体" w:cs="宋体"/>
                <w:b w:val="0"/>
                <w:bCs/>
                <w:color w:val="auto"/>
                <w:kern w:val="0"/>
                <w:szCs w:val="21"/>
                <w:highlight w:val="none"/>
              </w:rPr>
            </w:pPr>
          </w:p>
          <w:p w14:paraId="7F033D77">
            <w:pPr>
              <w:snapToGrid w:val="0"/>
              <w:spacing w:line="400" w:lineRule="exact"/>
              <w:jc w:val="center"/>
              <w:rPr>
                <w:rFonts w:hint="eastAsia" w:ascii="宋体" w:hAnsi="宋体" w:cs="宋体"/>
                <w:b w:val="0"/>
                <w:bCs/>
                <w:color w:val="auto"/>
                <w:kern w:val="0"/>
                <w:szCs w:val="21"/>
                <w:highlight w:val="none"/>
              </w:rPr>
            </w:pPr>
          </w:p>
          <w:p w14:paraId="7F033D78">
            <w:pPr>
              <w:snapToGrid w:val="0"/>
              <w:spacing w:line="400" w:lineRule="exact"/>
              <w:jc w:val="center"/>
              <w:rPr>
                <w:rFonts w:hint="eastAsia" w:ascii="宋体" w:hAnsi="宋体" w:cs="宋体"/>
                <w:b w:val="0"/>
                <w:bCs/>
                <w:color w:val="auto"/>
                <w:kern w:val="0"/>
                <w:szCs w:val="21"/>
                <w:highlight w:val="none"/>
              </w:rPr>
            </w:pPr>
          </w:p>
          <w:p w14:paraId="7F033D79">
            <w:pPr>
              <w:snapToGrid w:val="0"/>
              <w:spacing w:line="400" w:lineRule="exact"/>
              <w:jc w:val="center"/>
              <w:rPr>
                <w:rFonts w:hint="eastAsia" w:ascii="宋体" w:hAnsi="宋体" w:cs="宋体"/>
                <w:b w:val="0"/>
                <w:bCs/>
                <w:color w:val="auto"/>
                <w:kern w:val="0"/>
                <w:szCs w:val="21"/>
                <w:highlight w:val="none"/>
              </w:rPr>
            </w:pPr>
          </w:p>
          <w:p w14:paraId="7F033D7A">
            <w:pPr>
              <w:snapToGrid w:val="0"/>
              <w:spacing w:line="400" w:lineRule="exact"/>
              <w:jc w:val="center"/>
              <w:rPr>
                <w:rFonts w:hint="eastAsia" w:ascii="宋体" w:hAnsi="宋体" w:cs="宋体"/>
                <w:b w:val="0"/>
                <w:bCs/>
                <w:color w:val="auto"/>
                <w:kern w:val="0"/>
                <w:szCs w:val="21"/>
                <w:highlight w:val="none"/>
              </w:rPr>
            </w:pPr>
          </w:p>
          <w:p w14:paraId="7F033D7B">
            <w:pPr>
              <w:snapToGrid w:val="0"/>
              <w:spacing w:line="400" w:lineRule="exact"/>
              <w:jc w:val="center"/>
              <w:rPr>
                <w:rFonts w:hint="eastAsia" w:ascii="宋体" w:hAnsi="宋体" w:cs="宋体"/>
                <w:b w:val="0"/>
                <w:bCs/>
                <w:color w:val="auto"/>
                <w:kern w:val="0"/>
                <w:szCs w:val="21"/>
                <w:highlight w:val="none"/>
              </w:rPr>
            </w:pPr>
          </w:p>
          <w:p w14:paraId="7F033D7C">
            <w:pPr>
              <w:snapToGrid w:val="0"/>
              <w:spacing w:line="400" w:lineRule="exact"/>
              <w:jc w:val="center"/>
              <w:rPr>
                <w:rFonts w:hint="eastAsia" w:ascii="宋体" w:hAnsi="宋体" w:cs="宋体"/>
                <w:b w:val="0"/>
                <w:bCs/>
                <w:color w:val="auto"/>
                <w:kern w:val="0"/>
                <w:szCs w:val="21"/>
                <w:highlight w:val="none"/>
              </w:rPr>
            </w:pPr>
          </w:p>
          <w:p w14:paraId="7F033D7D">
            <w:pPr>
              <w:snapToGrid w:val="0"/>
              <w:spacing w:line="400" w:lineRule="exact"/>
              <w:jc w:val="center"/>
              <w:rPr>
                <w:rFonts w:hint="eastAsia" w:ascii="宋体" w:hAnsi="宋体" w:cs="宋体"/>
                <w:b w:val="0"/>
                <w:bCs/>
                <w:color w:val="auto"/>
                <w:kern w:val="0"/>
                <w:szCs w:val="21"/>
                <w:highlight w:val="none"/>
              </w:rPr>
            </w:pPr>
          </w:p>
          <w:p w14:paraId="7F033D7E">
            <w:pPr>
              <w:snapToGrid w:val="0"/>
              <w:spacing w:line="400" w:lineRule="exact"/>
              <w:jc w:val="center"/>
              <w:rPr>
                <w:rFonts w:hint="eastAsia" w:ascii="宋体" w:hAnsi="宋体" w:cs="宋体"/>
                <w:b w:val="0"/>
                <w:bCs/>
                <w:color w:val="auto"/>
                <w:kern w:val="0"/>
                <w:szCs w:val="21"/>
                <w:highlight w:val="none"/>
              </w:rPr>
            </w:pPr>
          </w:p>
          <w:p w14:paraId="7F033D7F">
            <w:pPr>
              <w:snapToGrid w:val="0"/>
              <w:spacing w:line="400" w:lineRule="exact"/>
              <w:jc w:val="center"/>
              <w:rPr>
                <w:rFonts w:hint="eastAsia" w:ascii="宋体" w:hAnsi="宋体" w:cs="宋体"/>
                <w:b w:val="0"/>
                <w:bCs/>
                <w:color w:val="auto"/>
                <w:kern w:val="0"/>
                <w:szCs w:val="21"/>
                <w:highlight w:val="none"/>
              </w:rPr>
            </w:pPr>
          </w:p>
          <w:p w14:paraId="7F033D80">
            <w:pPr>
              <w:snapToGrid w:val="0"/>
              <w:spacing w:line="400" w:lineRule="exact"/>
              <w:jc w:val="center"/>
              <w:rPr>
                <w:rFonts w:hint="eastAsia" w:ascii="宋体" w:hAnsi="宋体" w:cs="宋体"/>
                <w:b w:val="0"/>
                <w:bCs/>
                <w:color w:val="auto"/>
                <w:kern w:val="0"/>
                <w:szCs w:val="21"/>
                <w:highlight w:val="none"/>
              </w:rPr>
            </w:pPr>
          </w:p>
          <w:p w14:paraId="7F033D8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投标人资质条件、能力和信誉</w:t>
            </w:r>
          </w:p>
          <w:p w14:paraId="7F033D82">
            <w:pPr>
              <w:snapToGrid w:val="0"/>
              <w:spacing w:line="400" w:lineRule="exact"/>
              <w:jc w:val="center"/>
              <w:rPr>
                <w:rFonts w:hint="eastAsia" w:ascii="宋体" w:hAnsi="宋体" w:cs="宋体"/>
                <w:b w:val="0"/>
                <w:bCs/>
                <w:color w:val="auto"/>
                <w:kern w:val="0"/>
                <w:szCs w:val="21"/>
                <w:highlight w:val="none"/>
              </w:rPr>
            </w:pPr>
          </w:p>
          <w:p w14:paraId="7F033D83">
            <w:pPr>
              <w:snapToGrid w:val="0"/>
              <w:spacing w:line="400" w:lineRule="exact"/>
              <w:jc w:val="center"/>
              <w:rPr>
                <w:rFonts w:hint="eastAsia" w:ascii="宋体" w:hAnsi="宋体" w:cs="宋体"/>
                <w:b w:val="0"/>
                <w:bCs/>
                <w:color w:val="auto"/>
                <w:kern w:val="0"/>
                <w:szCs w:val="21"/>
                <w:highlight w:val="none"/>
              </w:rPr>
            </w:pPr>
          </w:p>
          <w:p w14:paraId="7F033D84">
            <w:pPr>
              <w:snapToGrid w:val="0"/>
              <w:spacing w:line="400" w:lineRule="exact"/>
              <w:jc w:val="center"/>
              <w:rPr>
                <w:rFonts w:hint="eastAsia" w:ascii="宋体" w:hAnsi="宋体" w:cs="宋体"/>
                <w:b w:val="0"/>
                <w:bCs/>
                <w:color w:val="auto"/>
                <w:kern w:val="0"/>
                <w:szCs w:val="21"/>
                <w:highlight w:val="none"/>
              </w:rPr>
            </w:pPr>
          </w:p>
          <w:p w14:paraId="7F033D85">
            <w:pPr>
              <w:snapToGrid w:val="0"/>
              <w:spacing w:line="400" w:lineRule="exact"/>
              <w:jc w:val="center"/>
              <w:rPr>
                <w:rFonts w:hint="eastAsia" w:ascii="宋体" w:hAnsi="宋体" w:cs="宋体"/>
                <w:b w:val="0"/>
                <w:bCs/>
                <w:color w:val="auto"/>
                <w:kern w:val="0"/>
                <w:szCs w:val="21"/>
                <w:highlight w:val="none"/>
              </w:rPr>
            </w:pPr>
          </w:p>
          <w:p w14:paraId="7F033D86">
            <w:pPr>
              <w:snapToGrid w:val="0"/>
              <w:spacing w:line="400" w:lineRule="exact"/>
              <w:jc w:val="center"/>
              <w:rPr>
                <w:rFonts w:hint="eastAsia" w:ascii="宋体" w:hAnsi="宋体" w:cs="宋体"/>
                <w:b w:val="0"/>
                <w:bCs/>
                <w:color w:val="auto"/>
                <w:kern w:val="0"/>
                <w:szCs w:val="21"/>
                <w:highlight w:val="none"/>
              </w:rPr>
            </w:pPr>
          </w:p>
          <w:p w14:paraId="7F033D87">
            <w:pPr>
              <w:snapToGrid w:val="0"/>
              <w:spacing w:line="400" w:lineRule="exact"/>
              <w:jc w:val="center"/>
              <w:rPr>
                <w:rFonts w:hint="eastAsia" w:ascii="宋体" w:hAnsi="宋体" w:cs="宋体"/>
                <w:b w:val="0"/>
                <w:bCs/>
                <w:color w:val="auto"/>
                <w:kern w:val="0"/>
                <w:szCs w:val="21"/>
                <w:highlight w:val="none"/>
              </w:rPr>
            </w:pPr>
          </w:p>
          <w:p w14:paraId="7F033D88">
            <w:pPr>
              <w:snapToGrid w:val="0"/>
              <w:spacing w:line="400" w:lineRule="exact"/>
              <w:jc w:val="center"/>
              <w:rPr>
                <w:rFonts w:hint="eastAsia" w:ascii="宋体" w:hAnsi="宋体" w:cs="宋体"/>
                <w:b w:val="0"/>
                <w:bCs/>
                <w:color w:val="auto"/>
                <w:kern w:val="0"/>
                <w:szCs w:val="21"/>
                <w:highlight w:val="none"/>
              </w:rPr>
            </w:pPr>
          </w:p>
          <w:p w14:paraId="7F033D89">
            <w:pPr>
              <w:snapToGrid w:val="0"/>
              <w:spacing w:line="400" w:lineRule="exact"/>
              <w:jc w:val="center"/>
              <w:rPr>
                <w:rFonts w:hint="eastAsia" w:ascii="宋体" w:hAnsi="宋体" w:cs="宋体"/>
                <w:b w:val="0"/>
                <w:bCs/>
                <w:color w:val="auto"/>
                <w:kern w:val="0"/>
                <w:szCs w:val="21"/>
                <w:highlight w:val="none"/>
              </w:rPr>
            </w:pPr>
          </w:p>
          <w:p w14:paraId="7F033D8A">
            <w:pPr>
              <w:snapToGrid w:val="0"/>
              <w:spacing w:line="400" w:lineRule="exact"/>
              <w:jc w:val="center"/>
              <w:rPr>
                <w:rFonts w:hint="eastAsia" w:ascii="宋体" w:hAnsi="宋体" w:cs="宋体"/>
                <w:b w:val="0"/>
                <w:bCs/>
                <w:color w:val="auto"/>
                <w:kern w:val="0"/>
                <w:szCs w:val="21"/>
                <w:highlight w:val="none"/>
              </w:rPr>
            </w:pPr>
          </w:p>
          <w:p w14:paraId="7F033D8B">
            <w:pPr>
              <w:snapToGrid w:val="0"/>
              <w:spacing w:line="400" w:lineRule="exact"/>
              <w:jc w:val="center"/>
              <w:rPr>
                <w:rFonts w:hint="eastAsia" w:ascii="宋体" w:hAnsi="宋体" w:cs="宋体"/>
                <w:b w:val="0"/>
                <w:bCs/>
                <w:color w:val="auto"/>
                <w:kern w:val="0"/>
                <w:szCs w:val="21"/>
                <w:highlight w:val="none"/>
              </w:rPr>
            </w:pPr>
          </w:p>
          <w:p w14:paraId="7F033D8C">
            <w:pPr>
              <w:snapToGrid w:val="0"/>
              <w:spacing w:line="400" w:lineRule="exact"/>
              <w:jc w:val="center"/>
              <w:rPr>
                <w:rFonts w:hint="eastAsia" w:ascii="宋体" w:hAnsi="宋体" w:cs="宋体"/>
                <w:b w:val="0"/>
                <w:bCs/>
                <w:color w:val="auto"/>
                <w:kern w:val="0"/>
                <w:szCs w:val="21"/>
                <w:highlight w:val="none"/>
              </w:rPr>
            </w:pPr>
          </w:p>
          <w:p w14:paraId="7F033D8D">
            <w:pPr>
              <w:snapToGrid w:val="0"/>
              <w:spacing w:line="400" w:lineRule="exact"/>
              <w:jc w:val="center"/>
              <w:rPr>
                <w:rFonts w:hint="eastAsia" w:ascii="宋体" w:hAnsi="宋体" w:cs="宋体"/>
                <w:b w:val="0"/>
                <w:bCs/>
                <w:color w:val="auto"/>
                <w:kern w:val="0"/>
                <w:szCs w:val="21"/>
                <w:highlight w:val="none"/>
              </w:rPr>
            </w:pPr>
          </w:p>
          <w:p w14:paraId="7F033D8E">
            <w:pPr>
              <w:snapToGrid w:val="0"/>
              <w:spacing w:line="400" w:lineRule="exact"/>
              <w:jc w:val="center"/>
              <w:rPr>
                <w:rFonts w:hint="eastAsia" w:ascii="宋体" w:hAnsi="宋体" w:cs="宋体"/>
                <w:b w:val="0"/>
                <w:bCs/>
                <w:color w:val="auto"/>
                <w:kern w:val="0"/>
                <w:szCs w:val="21"/>
                <w:highlight w:val="none"/>
              </w:rPr>
            </w:pPr>
          </w:p>
          <w:p w14:paraId="7F033D8F">
            <w:pPr>
              <w:snapToGrid w:val="0"/>
              <w:spacing w:line="400" w:lineRule="exact"/>
              <w:jc w:val="center"/>
              <w:rPr>
                <w:rFonts w:hint="eastAsia" w:ascii="宋体" w:hAnsi="宋体" w:cs="宋体"/>
                <w:b w:val="0"/>
                <w:bCs/>
                <w:color w:val="auto"/>
                <w:kern w:val="0"/>
                <w:szCs w:val="21"/>
                <w:highlight w:val="none"/>
              </w:rPr>
            </w:pPr>
          </w:p>
          <w:p w14:paraId="7F033D90">
            <w:pPr>
              <w:snapToGrid w:val="0"/>
              <w:spacing w:line="400" w:lineRule="exact"/>
              <w:jc w:val="center"/>
              <w:rPr>
                <w:rFonts w:hint="eastAsia" w:ascii="宋体" w:hAnsi="宋体" w:cs="宋体"/>
                <w:b w:val="0"/>
                <w:bCs/>
                <w:color w:val="auto"/>
                <w:kern w:val="0"/>
                <w:szCs w:val="21"/>
                <w:highlight w:val="none"/>
              </w:rPr>
            </w:pPr>
          </w:p>
          <w:p w14:paraId="7F033D91">
            <w:pPr>
              <w:snapToGrid w:val="0"/>
              <w:spacing w:line="400" w:lineRule="exact"/>
              <w:jc w:val="center"/>
              <w:rPr>
                <w:rFonts w:hint="eastAsia" w:ascii="宋体" w:hAnsi="宋体" w:cs="宋体"/>
                <w:b w:val="0"/>
                <w:bCs/>
                <w:color w:val="auto"/>
                <w:kern w:val="0"/>
                <w:szCs w:val="21"/>
                <w:highlight w:val="none"/>
              </w:rPr>
            </w:pPr>
          </w:p>
          <w:p w14:paraId="7F033D93">
            <w:pPr>
              <w:snapToGrid w:val="0"/>
              <w:spacing w:line="400" w:lineRule="exact"/>
              <w:jc w:val="both"/>
              <w:rPr>
                <w:rFonts w:hint="eastAsia" w:ascii="宋体" w:hAnsi="宋体" w:cs="宋体"/>
                <w:b w:val="0"/>
                <w:bCs/>
                <w:color w:val="auto"/>
                <w:kern w:val="0"/>
                <w:szCs w:val="21"/>
                <w:highlight w:val="none"/>
              </w:rPr>
            </w:pPr>
          </w:p>
          <w:p w14:paraId="7F033D9C">
            <w:pPr>
              <w:snapToGrid w:val="0"/>
              <w:spacing w:line="400" w:lineRule="exact"/>
              <w:jc w:val="center"/>
              <w:rPr>
                <w:rFonts w:hint="eastAsia" w:ascii="宋体" w:hAnsi="宋体" w:cs="宋体"/>
                <w:b w:val="0"/>
                <w:bCs/>
                <w:color w:val="auto"/>
                <w:kern w:val="0"/>
                <w:szCs w:val="21"/>
                <w:highlight w:val="none"/>
              </w:rPr>
            </w:pPr>
          </w:p>
          <w:p w14:paraId="7F033DB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投标人资质条件、能力和信誉</w:t>
            </w:r>
          </w:p>
        </w:tc>
        <w:tc>
          <w:tcPr>
            <w:tcW w:w="6490" w:type="dxa"/>
            <w:vAlign w:val="center"/>
          </w:tcPr>
          <w:p w14:paraId="7F033DB1">
            <w:pPr>
              <w:spacing w:line="400" w:lineRule="exact"/>
              <w:ind w:firstLine="420" w:firstLineChars="200"/>
              <w:rPr>
                <w:rFonts w:hint="eastAsia" w:ascii="宋体" w:hAnsi="宋体" w:cs="宋体"/>
                <w:b w:val="0"/>
                <w:bCs/>
                <w:snapToGrid w:val="0"/>
                <w:color w:val="auto"/>
                <w:kern w:val="0"/>
                <w:szCs w:val="21"/>
                <w:highlight w:val="none"/>
              </w:rPr>
            </w:pPr>
            <w:bookmarkStart w:id="91" w:name="OLE_LINK1"/>
            <w:r>
              <w:rPr>
                <w:rFonts w:hint="eastAsia" w:ascii="宋体" w:hAnsi="宋体" w:cs="宋体"/>
                <w:b w:val="0"/>
                <w:bCs/>
                <w:color w:val="auto"/>
                <w:szCs w:val="21"/>
                <w:highlight w:val="none"/>
              </w:rPr>
              <w:t>本次货物采购招标实行资格后审，允许</w:t>
            </w:r>
            <w:r>
              <w:rPr>
                <w:rFonts w:hint="eastAsia" w:ascii="宋体" w:hAnsi="宋体" w:cs="宋体"/>
                <w:b w:val="0"/>
                <w:bCs/>
                <w:snapToGrid w:val="0"/>
                <w:color w:val="auto"/>
                <w:kern w:val="0"/>
                <w:szCs w:val="21"/>
                <w:highlight w:val="none"/>
              </w:rPr>
              <w:t>投标人以投标货物的下列身份参加投标：</w:t>
            </w:r>
          </w:p>
          <w:p w14:paraId="7F033DB2">
            <w:pPr>
              <w:spacing w:line="400" w:lineRule="exact"/>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制造商</w:t>
            </w:r>
          </w:p>
          <w:p w14:paraId="7F033DB3">
            <w:pPr>
              <w:spacing w:line="400" w:lineRule="exact"/>
              <w:ind w:firstLine="420" w:firstLineChars="200"/>
              <w:jc w:val="left"/>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代理商（包括经销商、制造商下属销售子公司）</w:t>
            </w:r>
          </w:p>
          <w:bookmarkEnd w:id="91"/>
          <w:p w14:paraId="7F033DB4">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1.独立法人资格和资质要求</w:t>
            </w:r>
          </w:p>
          <w:p w14:paraId="7F033DB5">
            <w:pPr>
              <w:spacing w:line="400" w:lineRule="exact"/>
              <w:ind w:firstLine="420" w:firstLineChars="200"/>
              <w:rPr>
                <w:rFonts w:hint="eastAsia" w:ascii="宋体" w:hAnsi="宋体" w:cs="宋体"/>
                <w:b w:val="0"/>
                <w:bCs/>
                <w:iCs/>
                <w:color w:val="auto"/>
                <w:szCs w:val="21"/>
                <w:highlight w:val="none"/>
              </w:rPr>
            </w:pPr>
            <w:r>
              <w:rPr>
                <w:rFonts w:hint="eastAsia" w:ascii="宋体" w:hAnsi="宋体" w:cs="宋体"/>
                <w:b w:val="0"/>
                <w:bCs/>
                <w:snapToGrid w:val="0"/>
                <w:color w:val="auto"/>
                <w:kern w:val="0"/>
                <w:szCs w:val="21"/>
                <w:highlight w:val="none"/>
              </w:rPr>
              <w:t xml:space="preserve">1.1 </w:t>
            </w:r>
            <w:r>
              <w:rPr>
                <w:rFonts w:hint="eastAsia" w:ascii="宋体" w:hAnsi="宋体" w:cs="宋体"/>
                <w:b w:val="0"/>
                <w:bCs/>
                <w:iCs/>
                <w:color w:val="auto"/>
                <w:szCs w:val="21"/>
                <w:highlight w:val="none"/>
              </w:rPr>
              <w:t>投标人为制造商应符合以下要求：</w:t>
            </w:r>
          </w:p>
          <w:p w14:paraId="7F033DB6">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（1）具备独立法人资格；</w:t>
            </w:r>
          </w:p>
          <w:p w14:paraId="7F033DB7">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提供：有效的营业执照</w:t>
            </w:r>
            <w:r>
              <w:rPr>
                <w:rFonts w:hint="eastAsia" w:ascii="宋体" w:hAnsi="宋体" w:cs="宋体"/>
                <w:b w:val="0"/>
                <w:bCs/>
                <w:snapToGrid w:val="0"/>
                <w:color w:val="auto"/>
                <w:kern w:val="0"/>
                <w:szCs w:val="21"/>
                <w:highlight w:val="none"/>
              </w:rPr>
              <w:t>，</w:t>
            </w:r>
            <w:r>
              <w:rPr>
                <w:rFonts w:hint="eastAsia" w:ascii="宋体" w:hAnsi="宋体" w:cs="宋体"/>
                <w:b w:val="0"/>
                <w:bCs/>
                <w:color w:val="auto"/>
                <w:szCs w:val="21"/>
                <w:highlight w:val="none"/>
              </w:rPr>
              <w:t>以及制造商资格声明（格式见第六章投标文件格式）。</w:t>
            </w:r>
          </w:p>
          <w:p w14:paraId="7F033DB8">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注：不得将营业执照记载的经营范围作为评审因素。</w:t>
            </w:r>
          </w:p>
          <w:p w14:paraId="7F033DB9">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snapToGrid w:val="0"/>
                <w:color w:val="auto"/>
                <w:kern w:val="0"/>
                <w:szCs w:val="21"/>
                <w:highlight w:val="none"/>
              </w:rPr>
              <w:t xml:space="preserve">1.2 </w:t>
            </w:r>
            <w:r>
              <w:rPr>
                <w:rFonts w:hint="eastAsia" w:ascii="宋体" w:hAnsi="宋体" w:cs="宋体"/>
                <w:b w:val="0"/>
                <w:bCs/>
                <w:iCs/>
                <w:color w:val="auto"/>
                <w:szCs w:val="21"/>
                <w:highlight w:val="none"/>
              </w:rPr>
              <w:t>投标人为代理商应符合以下要求：</w:t>
            </w:r>
          </w:p>
          <w:p w14:paraId="7F033DBA">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（1）具备独立法人资格；</w:t>
            </w:r>
          </w:p>
          <w:p w14:paraId="7F033DBB">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snapToGrid w:val="0"/>
                <w:color w:val="auto"/>
                <w:kern w:val="0"/>
                <w:szCs w:val="21"/>
                <w:highlight w:val="none"/>
              </w:rPr>
              <w:t>投标货物制造商</w:t>
            </w:r>
            <w:r>
              <w:rPr>
                <w:rFonts w:hint="eastAsia" w:ascii="宋体" w:hAnsi="宋体" w:cs="宋体"/>
                <w:b w:val="0"/>
                <w:bCs/>
                <w:color w:val="auto"/>
                <w:szCs w:val="21"/>
                <w:highlight w:val="none"/>
              </w:rPr>
              <w:t>具备独立法人资格；</w:t>
            </w:r>
          </w:p>
          <w:p w14:paraId="7F033DBC">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w:t>
            </w:r>
            <w:r>
              <w:rPr>
                <w:rFonts w:hint="eastAsia" w:ascii="宋体" w:hAnsi="宋体" w:cs="宋体"/>
                <w:b w:val="0"/>
                <w:bCs/>
                <w:snapToGrid w:val="0"/>
                <w:color w:val="auto"/>
                <w:kern w:val="0"/>
                <w:szCs w:val="21"/>
                <w:highlight w:val="none"/>
                <w:u w:val="single"/>
              </w:rPr>
              <w:t>钛及钛合金电极块压制机组、真空自耗电弧炉、冷坩埚悬浮熔炼炉 （根据所投标段提供对应制造商授权书）</w:t>
            </w:r>
            <w:r>
              <w:rPr>
                <w:rFonts w:hint="eastAsia" w:ascii="宋体" w:hAnsi="宋体" w:cs="宋体"/>
                <w:b w:val="0"/>
                <w:bCs/>
                <w:snapToGrid w:val="0"/>
                <w:color w:val="auto"/>
                <w:kern w:val="0"/>
                <w:szCs w:val="21"/>
                <w:highlight w:val="none"/>
              </w:rPr>
              <w:t>具有制造商授权书。</w:t>
            </w:r>
          </w:p>
          <w:p w14:paraId="7F033DBD">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注：本招标项目同一标段中，一个制造商对同一品牌同一型号的货物，仅能委托一个代理商参加投标，否则各相关投标均无效；同一品牌同一型号货物的制造商和代理商不得在本招标项目同一标段中投标，否则各相关投标均无效。</w:t>
            </w:r>
          </w:p>
          <w:p w14:paraId="7F033DBE">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提供：有效的营业执照、</w:t>
            </w:r>
            <w:r>
              <w:rPr>
                <w:rFonts w:hint="eastAsia" w:ascii="宋体" w:hAnsi="宋体" w:cs="宋体"/>
                <w:b w:val="0"/>
                <w:bCs/>
                <w:snapToGrid w:val="0"/>
                <w:color w:val="auto"/>
                <w:kern w:val="0"/>
                <w:szCs w:val="21"/>
                <w:highlight w:val="none"/>
              </w:rPr>
              <w:t>投标货物制造商</w:t>
            </w:r>
            <w:r>
              <w:rPr>
                <w:rFonts w:hint="eastAsia" w:ascii="宋体" w:hAnsi="宋体" w:cs="宋体"/>
                <w:b w:val="0"/>
                <w:bCs/>
                <w:color w:val="auto"/>
                <w:szCs w:val="21"/>
                <w:highlight w:val="none"/>
              </w:rPr>
              <w:t>授权书。</w:t>
            </w:r>
          </w:p>
          <w:p w14:paraId="7F033DBF">
            <w:pPr>
              <w:autoSpaceDE w:val="0"/>
              <w:autoSpaceDN w:val="0"/>
              <w:adjustRightInd w:val="0"/>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注：不得将营业执照记载的经营范围作为评审因素。</w:t>
            </w:r>
          </w:p>
          <w:p w14:paraId="7F033DC3">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2</w:t>
            </w:r>
            <w:r>
              <w:rPr>
                <w:rFonts w:hint="eastAsia" w:ascii="宋体" w:hAnsi="宋体" w:cs="宋体"/>
                <w:b w:val="0"/>
                <w:bCs/>
                <w:color w:val="auto"/>
                <w:szCs w:val="21"/>
                <w:highlight w:val="none"/>
              </w:rPr>
              <w:t>.业绩要求</w:t>
            </w:r>
          </w:p>
          <w:p w14:paraId="7F033DC4">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代理商投标的，</w:t>
            </w:r>
            <w:r>
              <w:rPr>
                <w:rFonts w:hint="eastAsia" w:ascii="宋体" w:hAnsi="宋体" w:cs="宋体"/>
                <w:b w:val="0"/>
                <w:bCs/>
                <w:color w:val="auto"/>
                <w:szCs w:val="21"/>
                <w:highlight w:val="none"/>
              </w:rPr>
              <w:t>自</w:t>
            </w:r>
            <w:r>
              <w:rPr>
                <w:rFonts w:hint="eastAsia" w:ascii="宋体" w:hAnsi="宋体" w:cs="宋体"/>
                <w:b w:val="0"/>
                <w:bCs/>
                <w:color w:val="auto"/>
                <w:szCs w:val="21"/>
                <w:highlight w:val="none"/>
                <w:u w:val="single"/>
              </w:rPr>
              <w:t>2023</w:t>
            </w:r>
            <w:r>
              <w:rPr>
                <w:rFonts w:hint="eastAsia" w:ascii="宋体" w:hAnsi="宋体" w:cs="宋体"/>
                <w:b w:val="0"/>
                <w:bCs/>
                <w:color w:val="auto"/>
                <w:szCs w:val="21"/>
                <w:highlight w:val="none"/>
              </w:rPr>
              <w:t>年1月1日起至投标截止日止（以合同签订时间为准），完成过</w:t>
            </w:r>
            <w:r>
              <w:rPr>
                <w:rFonts w:hint="eastAsia" w:ascii="宋体" w:hAnsi="宋体" w:cs="宋体"/>
                <w:b w:val="0"/>
                <w:bCs/>
                <w:color w:val="auto"/>
                <w:szCs w:val="21"/>
                <w:highlight w:val="none"/>
                <w:u w:val="single"/>
              </w:rPr>
              <w:t>不低于</w:t>
            </w:r>
            <w:r>
              <w:rPr>
                <w:rFonts w:hint="eastAsia" w:ascii="宋体" w:hAnsi="宋体" w:cs="宋体"/>
                <w:b w:val="0"/>
                <w:bCs/>
                <w:color w:val="auto"/>
                <w:szCs w:val="21"/>
                <w:highlight w:val="none"/>
              </w:rPr>
              <w:t>1个</w:t>
            </w:r>
            <w:r>
              <w:rPr>
                <w:rFonts w:hint="eastAsia" w:ascii="宋体" w:hAnsi="宋体" w:cs="宋体"/>
                <w:b w:val="0"/>
                <w:bCs/>
                <w:color w:val="auto"/>
                <w:szCs w:val="21"/>
                <w:highlight w:val="none"/>
                <w:u w:val="single"/>
              </w:rPr>
              <w:t xml:space="preserve">所投标段招标文件对应的类似设备 </w:t>
            </w:r>
            <w:r>
              <w:rPr>
                <w:rFonts w:hint="eastAsia" w:ascii="宋体" w:hAnsi="宋体" w:cs="宋体"/>
                <w:b w:val="0"/>
                <w:bCs/>
                <w:color w:val="auto"/>
                <w:szCs w:val="21"/>
                <w:highlight w:val="none"/>
              </w:rPr>
              <w:t>供货业绩（或供货及安装业绩）。</w:t>
            </w:r>
          </w:p>
          <w:p w14:paraId="7F033DC5">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制造商投标的，自</w:t>
            </w:r>
            <w:r>
              <w:rPr>
                <w:rFonts w:hint="eastAsia" w:ascii="宋体" w:hAnsi="宋体" w:cs="宋体"/>
                <w:b w:val="0"/>
                <w:bCs/>
                <w:color w:val="auto"/>
                <w:szCs w:val="21"/>
                <w:highlight w:val="none"/>
                <w:u w:val="single"/>
              </w:rPr>
              <w:t>2023</w:t>
            </w:r>
            <w:r>
              <w:rPr>
                <w:rFonts w:hint="eastAsia" w:ascii="宋体" w:hAnsi="宋体" w:cs="宋体"/>
                <w:b w:val="0"/>
                <w:bCs/>
                <w:color w:val="auto"/>
                <w:szCs w:val="21"/>
                <w:highlight w:val="none"/>
              </w:rPr>
              <w:t>年1月1日起至投标截止日止（以合同签订时间为准），完成过</w:t>
            </w:r>
            <w:r>
              <w:rPr>
                <w:rFonts w:hint="eastAsia" w:ascii="宋体" w:hAnsi="宋体" w:cs="宋体"/>
                <w:b w:val="0"/>
                <w:bCs/>
                <w:color w:val="auto"/>
                <w:szCs w:val="21"/>
                <w:highlight w:val="none"/>
                <w:u w:val="single"/>
              </w:rPr>
              <w:t>不低于</w:t>
            </w:r>
            <w:r>
              <w:rPr>
                <w:rFonts w:hint="eastAsia" w:ascii="宋体" w:hAnsi="宋体" w:cs="宋体"/>
                <w:b w:val="0"/>
                <w:bCs/>
                <w:color w:val="auto"/>
                <w:szCs w:val="21"/>
                <w:highlight w:val="none"/>
              </w:rPr>
              <w:t>1个</w:t>
            </w:r>
            <w:r>
              <w:rPr>
                <w:rFonts w:hint="eastAsia" w:ascii="宋体" w:hAnsi="宋体" w:cs="宋体"/>
                <w:b w:val="0"/>
                <w:bCs/>
                <w:color w:val="auto"/>
                <w:szCs w:val="21"/>
                <w:highlight w:val="none"/>
                <w:u w:val="single"/>
              </w:rPr>
              <w:t xml:space="preserve">所投标段招标文件对应的类似设备 </w:t>
            </w:r>
            <w:r>
              <w:rPr>
                <w:rFonts w:hint="eastAsia" w:ascii="宋体" w:hAnsi="宋体" w:cs="宋体"/>
                <w:b w:val="0"/>
                <w:bCs/>
                <w:color w:val="auto"/>
                <w:szCs w:val="21"/>
                <w:highlight w:val="none"/>
              </w:rPr>
              <w:t>供货业绩（或供货及安装业绩）。</w:t>
            </w:r>
          </w:p>
          <w:p w14:paraId="7F033DC6">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提供：该业绩的合同文件和完成供货证明（或完成供货及安装证明）</w:t>
            </w:r>
            <w:r>
              <w:rPr>
                <w:rFonts w:hint="eastAsia" w:ascii="宋体" w:hAnsi="宋体" w:cs="宋体"/>
                <w:b w:val="0"/>
                <w:bCs/>
                <w:color w:val="auto"/>
                <w:kern w:val="0"/>
                <w:szCs w:val="21"/>
                <w:highlight w:val="none"/>
              </w:rPr>
              <w:t>（合同文件须提供首页、签章页以及体现上述业绩指标的关键页；</w:t>
            </w:r>
            <w:r>
              <w:rPr>
                <w:rFonts w:hint="eastAsia" w:ascii="宋体" w:hAnsi="宋体" w:cs="宋体"/>
                <w:b w:val="0"/>
                <w:bCs/>
                <w:color w:val="auto"/>
                <w:szCs w:val="21"/>
                <w:highlight w:val="none"/>
              </w:rPr>
              <w:t>若提供的业绩证明材料不能体现上述业绩指标的，应补充提供采购单位证明。</w:t>
            </w:r>
          </w:p>
          <w:p w14:paraId="7F033DC9">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rPr>
              <w:t>.投标截止日投标资格情况</w:t>
            </w:r>
          </w:p>
          <w:p w14:paraId="7F033DCA">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投标人不得存在下列情形之一：</w:t>
            </w:r>
          </w:p>
          <w:p w14:paraId="7F033DCB">
            <w:pPr>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（1）被人民法院列入失信被执行人名单且在被执行期内；</w:t>
            </w:r>
          </w:p>
          <w:p w14:paraId="7F033DCC">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（2）被国家、重庆市（含市或任意区县）有关行政部门处以暂停投标资格行政处罚或暂停在渝承揽新业务，且在暂停期限内；</w:t>
            </w:r>
          </w:p>
          <w:p w14:paraId="7F033DC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highlight w:val="none"/>
              </w:rPr>
              <w:t>（3）</w:t>
            </w:r>
            <w:r>
              <w:rPr>
                <w:rFonts w:hint="eastAsia" w:ascii="宋体" w:hAnsi="宋体" w:cs="宋体"/>
                <w:b w:val="0"/>
                <w:bCs/>
                <w:color w:val="auto"/>
                <w:kern w:val="0"/>
                <w:highlight w:val="none"/>
              </w:rPr>
              <w:t>第二章“投标人须知”第1.4.3项规定的情形之一；第二章“投标人须知”第9.2款规定的情形之一。</w:t>
            </w:r>
          </w:p>
          <w:p w14:paraId="7F033DCE">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提供：承诺（格式见第六章投标文件格式）。</w:t>
            </w:r>
          </w:p>
          <w:p w14:paraId="7F033DCF">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.其他要求</w:t>
            </w:r>
          </w:p>
          <w:p w14:paraId="7F033DD0">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（1）质量保证期</w:t>
            </w:r>
          </w:p>
          <w:p w14:paraId="7F033DD1">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本项目投标货物的质量保证期为：</w:t>
            </w:r>
            <w:r>
              <w:rPr>
                <w:rFonts w:hint="eastAsia" w:ascii="宋体" w:hAnsi="宋体" w:cs="宋体"/>
                <w:b w:val="0"/>
                <w:bCs/>
                <w:color w:val="auto"/>
                <w:szCs w:val="21"/>
                <w:highlight w:val="none"/>
                <w:u w:val="single"/>
              </w:rPr>
              <w:t>按“第五章供货要求”执行</w:t>
            </w:r>
            <w:r>
              <w:rPr>
                <w:rFonts w:hint="eastAsia" w:ascii="宋体" w:hAnsi="宋体" w:cs="宋体"/>
                <w:b w:val="0"/>
                <w:bCs/>
                <w:color w:val="auto"/>
                <w:szCs w:val="21"/>
                <w:highlight w:val="none"/>
              </w:rPr>
              <w:t>。质量保证期内服务包括：</w:t>
            </w:r>
            <w:r>
              <w:rPr>
                <w:rFonts w:hint="eastAsia" w:ascii="宋体" w:hAnsi="宋体" w:cs="宋体"/>
                <w:b w:val="0"/>
                <w:bCs/>
                <w:color w:val="auto"/>
                <w:szCs w:val="21"/>
                <w:highlight w:val="none"/>
                <w:u w:val="single"/>
              </w:rPr>
              <w:t>按“第五章供货要求”执行</w:t>
            </w:r>
            <w:r>
              <w:rPr>
                <w:rFonts w:hint="eastAsia" w:ascii="宋体" w:hAnsi="宋体" w:cs="宋体"/>
                <w:b w:val="0"/>
                <w:bCs/>
                <w:color w:val="auto"/>
                <w:szCs w:val="21"/>
                <w:highlight w:val="none"/>
              </w:rPr>
              <w:t>。</w:t>
            </w:r>
          </w:p>
          <w:p w14:paraId="7F033DD2">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提供：承诺（格式见第六章投标文件格式）。</w:t>
            </w:r>
          </w:p>
          <w:p w14:paraId="7F033DD3">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（2）供货要求</w:t>
            </w:r>
          </w:p>
          <w:p w14:paraId="7F033DD4">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投标人提供的货物和服务必须完全满足招标文件第五章供货要求中的所有要求。中标后，招标人随时有权核验相关资料和检测产品，如果发现中标人提供的货物或服务不符合招标文件要求的，将视为中标人弄虚作假骗取中标，招标人有权采取取消中标资格、不予退还投标保证金、要求在合同价款不变的情况下更换产品、不予退还履约保证金、无条件解约、要求赔偿损失、向行政监督部门报告给予处理处罚等手段。</w:t>
            </w:r>
          </w:p>
          <w:p w14:paraId="7F033DD5">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提供：承诺（格式见第六章投标文件格式）。</w:t>
            </w:r>
          </w:p>
          <w:p w14:paraId="7F033DD6">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（3）人员要求</w:t>
            </w:r>
          </w:p>
          <w:p w14:paraId="7F033DD7">
            <w:pPr>
              <w:autoSpaceDE w:val="0"/>
              <w:autoSpaceDN w:val="0"/>
              <w:adjustRightIn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投标人在中标后按照招标人要求配置相关技术人员，并在签订合同时提供技术人员相关资格证书（如有）</w:t>
            </w:r>
            <w:r>
              <w:rPr>
                <w:rFonts w:hint="eastAsia" w:ascii="宋体" w:hAnsi="宋体" w:cs="宋体"/>
                <w:b w:val="0"/>
                <w:bCs/>
                <w:color w:val="auto"/>
                <w:szCs w:val="21"/>
                <w:highlight w:val="none"/>
                <w:lang w:val="en-US" w:eastAsia="zh-CN"/>
              </w:rPr>
              <w:t>等</w:t>
            </w:r>
            <w:r>
              <w:rPr>
                <w:rFonts w:hint="eastAsia" w:ascii="宋体" w:hAnsi="宋体" w:cs="宋体"/>
                <w:b w:val="0"/>
                <w:bCs/>
                <w:color w:val="auto"/>
                <w:szCs w:val="21"/>
                <w:highlight w:val="none"/>
              </w:rPr>
              <w:t>证明材料。</w:t>
            </w:r>
          </w:p>
          <w:p w14:paraId="7F033DD8">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提供：承诺（格式见第六章投标文件格式）。</w:t>
            </w:r>
          </w:p>
          <w:p w14:paraId="7F033DD9">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szCs w:val="21"/>
                <w:highlight w:val="none"/>
              </w:rPr>
              <w:t>（4）</w:t>
            </w:r>
            <w:r>
              <w:rPr>
                <w:rFonts w:hint="eastAsia" w:ascii="宋体" w:hAnsi="宋体" w:cs="宋体"/>
                <w:b w:val="0"/>
                <w:bCs/>
                <w:color w:val="auto"/>
                <w:kern w:val="0"/>
                <w:szCs w:val="21"/>
                <w:highlight w:val="none"/>
              </w:rPr>
              <w:t>法定代表人或委托代理人</w:t>
            </w:r>
          </w:p>
          <w:p w14:paraId="7F033DDA">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法定代表人或</w:t>
            </w:r>
            <w:r>
              <w:rPr>
                <w:rFonts w:hint="eastAsia" w:ascii="宋体" w:hAnsi="宋体" w:cs="宋体"/>
                <w:b w:val="0"/>
                <w:bCs/>
                <w:iCs/>
                <w:color w:val="auto"/>
                <w:kern w:val="0"/>
                <w:szCs w:val="21"/>
                <w:highlight w:val="none"/>
              </w:rPr>
              <w:t>委托代理人代表投标人签署、澄清、说明、补正、递交、撤回、修改本项目投标文件、签订合同和处理有关事宜，其法律后果由投标人承担。</w:t>
            </w:r>
            <w:r>
              <w:rPr>
                <w:rFonts w:hint="eastAsia" w:ascii="宋体" w:hAnsi="宋体" w:cs="宋体"/>
                <w:b w:val="0"/>
                <w:bCs/>
                <w:color w:val="auto"/>
                <w:kern w:val="0"/>
                <w:szCs w:val="21"/>
                <w:highlight w:val="none"/>
              </w:rPr>
              <w:t>委托代理人须是投标单位人员。</w:t>
            </w:r>
          </w:p>
          <w:p w14:paraId="7F033DDB">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提供：法定代表人身份证明</w:t>
            </w:r>
            <w:r>
              <w:rPr>
                <w:rFonts w:hint="eastAsia" w:ascii="宋体" w:hAnsi="宋体" w:cs="宋体"/>
                <w:b w:val="0"/>
                <w:bCs/>
                <w:color w:val="auto"/>
                <w:szCs w:val="21"/>
                <w:highlight w:val="none"/>
              </w:rPr>
              <w:t>（格式见第六章投标文件格式）</w:t>
            </w:r>
            <w:r>
              <w:rPr>
                <w:rFonts w:hint="eastAsia" w:ascii="宋体" w:hAnsi="宋体" w:cs="宋体"/>
                <w:b w:val="0"/>
                <w:bCs/>
                <w:color w:val="auto"/>
                <w:kern w:val="0"/>
                <w:szCs w:val="21"/>
                <w:highlight w:val="none"/>
              </w:rPr>
              <w:t>。法定代表人委托代理人投标的，还须提供授权委托书</w:t>
            </w:r>
            <w:r>
              <w:rPr>
                <w:rFonts w:hint="eastAsia" w:ascii="宋体" w:hAnsi="宋体" w:cs="宋体"/>
                <w:b w:val="0"/>
                <w:bCs/>
                <w:color w:val="auto"/>
                <w:szCs w:val="21"/>
                <w:highlight w:val="none"/>
              </w:rPr>
              <w:t>（格式见第六章投标文件格式）</w:t>
            </w:r>
            <w:r>
              <w:rPr>
                <w:rFonts w:hint="eastAsia" w:ascii="宋体" w:hAnsi="宋体" w:cs="宋体"/>
                <w:b w:val="0"/>
                <w:bCs/>
                <w:color w:val="auto"/>
                <w:kern w:val="0"/>
                <w:szCs w:val="21"/>
                <w:highlight w:val="none"/>
              </w:rPr>
              <w:t>。</w:t>
            </w:r>
          </w:p>
          <w:p w14:paraId="7F033DDC">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w:t>
            </w:r>
            <w:r>
              <w:rPr>
                <w:rFonts w:hint="eastAsia" w:ascii="宋体" w:hAnsi="宋体" w:cs="宋体"/>
                <w:b w:val="0"/>
                <w:bCs/>
                <w:snapToGrid w:val="0"/>
                <w:color w:val="auto"/>
                <w:kern w:val="0"/>
                <w:szCs w:val="21"/>
                <w:highlight w:val="none"/>
              </w:rPr>
              <w:t>投标文件真实性</w:t>
            </w:r>
          </w:p>
          <w:p w14:paraId="7F033DDD">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投标文件中的所有内容真实有效，不存在弄虚作假情形。</w:t>
            </w:r>
          </w:p>
          <w:p w14:paraId="7F033DDE">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提供：承诺（格式见第六章投标文件格式）。</w:t>
            </w:r>
          </w:p>
          <w:p w14:paraId="7F033DDF">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特别说明：</w:t>
            </w:r>
          </w:p>
          <w:p w14:paraId="7F033DE0">
            <w:pPr>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szCs w:val="21"/>
                <w:highlight w:val="none"/>
              </w:rPr>
              <w:t>（1）上述要求须提供的相关证明材料均为扫描件（原件或复印件的扫描件均可），扫描件须清晰可辨，</w:t>
            </w:r>
            <w:r>
              <w:rPr>
                <w:rFonts w:hint="eastAsia" w:ascii="宋体" w:hAnsi="宋体" w:cs="宋体"/>
                <w:b w:val="0"/>
                <w:bCs/>
                <w:color w:val="auto"/>
                <w:kern w:val="0"/>
                <w:szCs w:val="21"/>
                <w:highlight w:val="none"/>
              </w:rPr>
              <w:t>有一条不满足，则投标文件由评标委员会</w:t>
            </w:r>
            <w:r>
              <w:rPr>
                <w:rFonts w:hint="eastAsia" w:ascii="宋体" w:hAnsi="宋体" w:cs="宋体"/>
                <w:b w:val="0"/>
                <w:bCs/>
                <w:color w:val="auto"/>
                <w:szCs w:val="21"/>
                <w:highlight w:val="none"/>
              </w:rPr>
              <w:t>作否决投标处理</w:t>
            </w:r>
            <w:r>
              <w:rPr>
                <w:rFonts w:hint="eastAsia" w:ascii="宋体" w:hAnsi="宋体" w:cs="宋体"/>
                <w:b w:val="0"/>
                <w:bCs/>
                <w:color w:val="auto"/>
                <w:kern w:val="0"/>
                <w:szCs w:val="21"/>
                <w:highlight w:val="none"/>
              </w:rPr>
              <w:t>。</w:t>
            </w:r>
          </w:p>
          <w:p w14:paraId="7F033DE5">
            <w:pPr>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tc>
      </w:tr>
      <w:tr w14:paraId="7F033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E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1.4.2</w:t>
            </w:r>
          </w:p>
        </w:tc>
        <w:tc>
          <w:tcPr>
            <w:tcW w:w="1754" w:type="dxa"/>
            <w:vAlign w:val="center"/>
          </w:tcPr>
          <w:p w14:paraId="7F033DE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是否接受联合体投标</w:t>
            </w:r>
          </w:p>
        </w:tc>
        <w:tc>
          <w:tcPr>
            <w:tcW w:w="6490" w:type="dxa"/>
            <w:vAlign w:val="center"/>
          </w:tcPr>
          <w:p w14:paraId="7F033DE9">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不接受</w:t>
            </w:r>
          </w:p>
        </w:tc>
      </w:tr>
      <w:tr w14:paraId="7F033D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E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1.4.3</w:t>
            </w:r>
          </w:p>
        </w:tc>
        <w:tc>
          <w:tcPr>
            <w:tcW w:w="1754" w:type="dxa"/>
            <w:vAlign w:val="center"/>
          </w:tcPr>
          <w:p w14:paraId="7F033DE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投标人不得存在的其他情形</w:t>
            </w:r>
          </w:p>
        </w:tc>
        <w:tc>
          <w:tcPr>
            <w:tcW w:w="6490" w:type="dxa"/>
            <w:vAlign w:val="center"/>
          </w:tcPr>
          <w:p w14:paraId="7F033DED">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szCs w:val="21"/>
                <w:highlight w:val="none"/>
                <w:u w:val="single"/>
              </w:rPr>
              <w:t xml:space="preserve">    /    </w:t>
            </w:r>
          </w:p>
        </w:tc>
      </w:tr>
      <w:tr w14:paraId="7F033D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E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1.9.1</w:t>
            </w:r>
          </w:p>
        </w:tc>
        <w:tc>
          <w:tcPr>
            <w:tcW w:w="1754" w:type="dxa"/>
            <w:vAlign w:val="center"/>
          </w:tcPr>
          <w:p w14:paraId="7F033DF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投标预备会</w:t>
            </w:r>
          </w:p>
        </w:tc>
        <w:tc>
          <w:tcPr>
            <w:tcW w:w="6490" w:type="dxa"/>
            <w:vAlign w:val="center"/>
          </w:tcPr>
          <w:p w14:paraId="7F033DF1">
            <w:pPr>
              <w:snapToGrid w:val="0"/>
              <w:spacing w:after="12" w:afterLines="5"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不召开</w:t>
            </w:r>
          </w:p>
        </w:tc>
      </w:tr>
      <w:tr w14:paraId="7F033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F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1.10.1</w:t>
            </w:r>
          </w:p>
        </w:tc>
        <w:tc>
          <w:tcPr>
            <w:tcW w:w="1754" w:type="dxa"/>
            <w:vAlign w:val="center"/>
          </w:tcPr>
          <w:p w14:paraId="7F033DF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分包</w:t>
            </w:r>
          </w:p>
        </w:tc>
        <w:tc>
          <w:tcPr>
            <w:tcW w:w="6490" w:type="dxa"/>
            <w:vAlign w:val="center"/>
          </w:tcPr>
          <w:p w14:paraId="7F033DF5">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不允许</w:t>
            </w:r>
          </w:p>
        </w:tc>
      </w:tr>
      <w:tr w14:paraId="7F033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F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1.11.2</w:t>
            </w:r>
          </w:p>
        </w:tc>
        <w:tc>
          <w:tcPr>
            <w:tcW w:w="1754" w:type="dxa"/>
            <w:vAlign w:val="center"/>
          </w:tcPr>
          <w:p w14:paraId="7F033DF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highlight w:val="none"/>
              </w:rPr>
              <w:t>其他可以被接受的技术支持资料</w:t>
            </w:r>
          </w:p>
        </w:tc>
        <w:tc>
          <w:tcPr>
            <w:tcW w:w="6490" w:type="dxa"/>
            <w:vAlign w:val="center"/>
          </w:tcPr>
          <w:p w14:paraId="7F033DF9">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无</w:t>
            </w:r>
          </w:p>
        </w:tc>
      </w:tr>
      <w:tr w14:paraId="7F033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F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1.11.3</w:t>
            </w:r>
          </w:p>
        </w:tc>
        <w:tc>
          <w:tcPr>
            <w:tcW w:w="1754" w:type="dxa"/>
            <w:vAlign w:val="center"/>
          </w:tcPr>
          <w:p w14:paraId="7F033DF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偏差</w:t>
            </w:r>
          </w:p>
        </w:tc>
        <w:tc>
          <w:tcPr>
            <w:tcW w:w="6490" w:type="dxa"/>
            <w:vAlign w:val="center"/>
          </w:tcPr>
          <w:p w14:paraId="7F033DFD">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不允许</w:t>
            </w:r>
          </w:p>
        </w:tc>
      </w:tr>
      <w:tr w14:paraId="7F033E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DF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2.1</w:t>
            </w:r>
          </w:p>
        </w:tc>
        <w:tc>
          <w:tcPr>
            <w:tcW w:w="1754" w:type="dxa"/>
            <w:vAlign w:val="center"/>
          </w:tcPr>
          <w:p w14:paraId="7F033E00">
            <w:pPr>
              <w:snapToGrid w:val="0"/>
              <w:spacing w:after="12" w:afterLines="5"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构成招标文件的其他资料</w:t>
            </w:r>
          </w:p>
        </w:tc>
        <w:tc>
          <w:tcPr>
            <w:tcW w:w="6490" w:type="dxa"/>
            <w:vAlign w:val="center"/>
          </w:tcPr>
          <w:p w14:paraId="7F033E01">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招标人发出的澄清及修改。</w:t>
            </w:r>
          </w:p>
        </w:tc>
      </w:tr>
      <w:tr w14:paraId="7F033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0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2.2.1</w:t>
            </w:r>
          </w:p>
        </w:tc>
        <w:tc>
          <w:tcPr>
            <w:tcW w:w="1754" w:type="dxa"/>
            <w:tcBorders>
              <w:bottom w:val="single" w:color="auto" w:sz="4" w:space="0"/>
            </w:tcBorders>
            <w:vAlign w:val="center"/>
          </w:tcPr>
          <w:p w14:paraId="7F033E0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投标人要求澄清招标文件的形式和截止时间</w:t>
            </w:r>
          </w:p>
        </w:tc>
        <w:tc>
          <w:tcPr>
            <w:tcW w:w="6490" w:type="dxa"/>
            <w:vAlign w:val="center"/>
          </w:tcPr>
          <w:p w14:paraId="7F033E05">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应仔细阅读招标文件及附件的所有内容，如有文字表述不清，图纸尺寸标注不明以及存在错、漏、缺、概念模糊和有可能出现歧义或理解上的偏差的内容等应在招标公告规定的时间前以书面形式向招标人或招标代理机构提交。</w:t>
            </w:r>
          </w:p>
        </w:tc>
      </w:tr>
      <w:tr w14:paraId="7F033E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7F033E0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2.2.2</w:t>
            </w:r>
          </w:p>
        </w:tc>
        <w:tc>
          <w:tcPr>
            <w:tcW w:w="1754" w:type="dxa"/>
            <w:tcBorders>
              <w:top w:val="single" w:color="auto" w:sz="4" w:space="0"/>
            </w:tcBorders>
            <w:vAlign w:val="center"/>
          </w:tcPr>
          <w:p w14:paraId="7F033E0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招标文件澄清发出的形式和时间</w:t>
            </w:r>
          </w:p>
        </w:tc>
        <w:tc>
          <w:tcPr>
            <w:tcW w:w="6490" w:type="dxa"/>
            <w:vAlign w:val="center"/>
          </w:tcPr>
          <w:p w14:paraId="7F033E09">
            <w:pPr>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szCs w:val="21"/>
                <w:highlight w:val="none"/>
              </w:rPr>
              <w:t>招标人应在招标公告规定的时间前，</w:t>
            </w:r>
            <w:r>
              <w:rPr>
                <w:rFonts w:hint="eastAsia" w:ascii="宋体" w:hAnsi="宋体" w:cs="宋体"/>
                <w:b w:val="0"/>
                <w:bCs/>
                <w:color w:val="auto"/>
                <w:kern w:val="0"/>
                <w:szCs w:val="21"/>
                <w:highlight w:val="none"/>
              </w:rPr>
              <w:t>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color w:val="auto"/>
                <w:kern w:val="0"/>
                <w:szCs w:val="21"/>
                <w:highlight w:val="none"/>
              </w:rPr>
              <w:t>发布澄清。</w:t>
            </w:r>
          </w:p>
        </w:tc>
      </w:tr>
      <w:tr w14:paraId="7F033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0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2.3.1</w:t>
            </w:r>
          </w:p>
        </w:tc>
        <w:tc>
          <w:tcPr>
            <w:tcW w:w="1754" w:type="dxa"/>
            <w:vAlign w:val="center"/>
          </w:tcPr>
          <w:p w14:paraId="7F033E0C">
            <w:pPr>
              <w:snapToGrid w:val="0"/>
              <w:spacing w:after="12" w:afterLines="5"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招标文件修改发出的形式和时间</w:t>
            </w:r>
          </w:p>
        </w:tc>
        <w:tc>
          <w:tcPr>
            <w:tcW w:w="6490" w:type="dxa"/>
            <w:vAlign w:val="center"/>
          </w:tcPr>
          <w:p w14:paraId="7F033E0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snapToGrid w:val="0"/>
                <w:color w:val="auto"/>
                <w:kern w:val="0"/>
                <w:szCs w:val="21"/>
                <w:highlight w:val="none"/>
              </w:rPr>
              <w:t>招标人应在招标公告规定的时间前，在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snapToGrid w:val="0"/>
                <w:color w:val="auto"/>
                <w:kern w:val="0"/>
                <w:szCs w:val="21"/>
                <w:highlight w:val="none"/>
              </w:rPr>
              <w:t>发布修改。</w:t>
            </w:r>
          </w:p>
        </w:tc>
      </w:tr>
      <w:tr w14:paraId="7F033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0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2.4</w:t>
            </w:r>
          </w:p>
        </w:tc>
        <w:tc>
          <w:tcPr>
            <w:tcW w:w="1754" w:type="dxa"/>
            <w:vAlign w:val="center"/>
          </w:tcPr>
          <w:p w14:paraId="7F033E1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投标人对招标文件及澄清修改提出异议的形式和时间</w:t>
            </w:r>
          </w:p>
        </w:tc>
        <w:tc>
          <w:tcPr>
            <w:tcW w:w="6490" w:type="dxa"/>
            <w:vAlign w:val="center"/>
          </w:tcPr>
          <w:p w14:paraId="7F033E11">
            <w:pPr>
              <w:snapToGri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对招标文件和澄清修改有异议的，应当在投标截止时间10日前，以书面形式向招标人或招标代理机构提出，招标人应当自收到异议之日起3日内做出答复。答复内容可能影响投标文件编制的，将以修改的形式于投标截止时间15日前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snapToGrid w:val="0"/>
                <w:color w:val="auto"/>
                <w:kern w:val="0"/>
                <w:szCs w:val="21"/>
                <w:highlight w:val="none"/>
              </w:rPr>
              <w:t>澄清修改区发布。发布时间至投标截止时间不足15日的，须相应延后投标截止时间。</w:t>
            </w:r>
          </w:p>
        </w:tc>
      </w:tr>
      <w:tr w14:paraId="7F033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1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3.1.1</w:t>
            </w:r>
          </w:p>
        </w:tc>
        <w:tc>
          <w:tcPr>
            <w:tcW w:w="1754" w:type="dxa"/>
            <w:vAlign w:val="center"/>
          </w:tcPr>
          <w:p w14:paraId="7F033E1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构成投标文件的其他资料</w:t>
            </w:r>
          </w:p>
        </w:tc>
        <w:tc>
          <w:tcPr>
            <w:tcW w:w="6490" w:type="dxa"/>
            <w:vAlign w:val="center"/>
          </w:tcPr>
          <w:p w14:paraId="7F033E15">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投标人的书面澄清、说明和补正（但不得改变投标文件的实质性内容）</w:t>
            </w:r>
          </w:p>
        </w:tc>
      </w:tr>
      <w:tr w14:paraId="7F033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1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3.2.1</w:t>
            </w:r>
          </w:p>
        </w:tc>
        <w:tc>
          <w:tcPr>
            <w:tcW w:w="1754" w:type="dxa"/>
            <w:vAlign w:val="center"/>
          </w:tcPr>
          <w:p w14:paraId="7F033E1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增值税税金的计算方法</w:t>
            </w:r>
          </w:p>
        </w:tc>
        <w:tc>
          <w:tcPr>
            <w:tcW w:w="6490" w:type="dxa"/>
            <w:vAlign w:val="center"/>
          </w:tcPr>
          <w:p w14:paraId="7F033E19">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一般计税法</w:t>
            </w:r>
          </w:p>
        </w:tc>
      </w:tr>
      <w:tr w14:paraId="7F033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1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3.2.3</w:t>
            </w:r>
          </w:p>
        </w:tc>
        <w:tc>
          <w:tcPr>
            <w:tcW w:w="1754" w:type="dxa"/>
            <w:vAlign w:val="center"/>
          </w:tcPr>
          <w:p w14:paraId="7F033E1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报价方式</w:t>
            </w:r>
          </w:p>
        </w:tc>
        <w:tc>
          <w:tcPr>
            <w:tcW w:w="6490" w:type="dxa"/>
            <w:vAlign w:val="center"/>
          </w:tcPr>
          <w:p w14:paraId="7F033E1D">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固定总价</w:t>
            </w:r>
          </w:p>
          <w:p w14:paraId="7F033E1E">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投标报价为固定总价，除合同约定扣除违约金外，合同价格不调整。</w:t>
            </w:r>
          </w:p>
          <w:p w14:paraId="7F033E1F">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固定总价报价以元为单位，保留两位小数，小数点后第三位四舍五入，小数点后不足两位的按实际位数保留。报价保留小数点位数的要求仅为方便评标使用，不作为否决投标条件。</w:t>
            </w:r>
          </w:p>
        </w:tc>
      </w:tr>
      <w:tr w14:paraId="7F033E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2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3.2.4</w:t>
            </w:r>
          </w:p>
        </w:tc>
        <w:tc>
          <w:tcPr>
            <w:tcW w:w="1754" w:type="dxa"/>
            <w:vAlign w:val="center"/>
          </w:tcPr>
          <w:p w14:paraId="7F033E2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最高投标限价</w:t>
            </w:r>
          </w:p>
        </w:tc>
        <w:tc>
          <w:tcPr>
            <w:tcW w:w="6490" w:type="dxa"/>
            <w:vAlign w:val="center"/>
          </w:tcPr>
          <w:p w14:paraId="7F033E23">
            <w:pPr>
              <w:snapToGrid w:val="0"/>
              <w:spacing w:line="400" w:lineRule="exact"/>
              <w:ind w:firstLine="420" w:firstLineChars="200"/>
              <w:jc w:val="left"/>
              <w:rPr>
                <w:rFonts w:ascii="宋体" w:hAnsi="宋体" w:cs="宋体"/>
                <w:b w:val="0"/>
                <w:bCs/>
                <w:color w:val="auto"/>
                <w:highlight w:val="none"/>
              </w:rPr>
            </w:pPr>
            <w:r>
              <w:rPr>
                <w:rFonts w:hint="eastAsia" w:ascii="宋体" w:hAnsi="宋体" w:cs="宋体"/>
                <w:b w:val="0"/>
                <w:bCs/>
                <w:color w:val="auto"/>
                <w:szCs w:val="21"/>
                <w:highlight w:val="none"/>
              </w:rPr>
              <w:t>有，一标段投标总报价最高限价为</w:t>
            </w:r>
            <w:r>
              <w:rPr>
                <w:rFonts w:hint="eastAsia" w:ascii="宋体" w:hAnsi="宋体" w:cs="宋体"/>
                <w:b w:val="0"/>
                <w:bCs/>
                <w:color w:val="auto"/>
                <w:szCs w:val="21"/>
                <w:highlight w:val="none"/>
                <w:lang w:val="en-US" w:eastAsia="zh-CN"/>
              </w:rPr>
              <w:t>320</w:t>
            </w:r>
            <w:r>
              <w:rPr>
                <w:rFonts w:hint="eastAsia" w:ascii="宋体" w:hAnsi="宋体" w:cs="宋体"/>
                <w:b w:val="0"/>
                <w:bCs/>
                <w:color w:val="auto"/>
                <w:szCs w:val="21"/>
                <w:highlight w:val="none"/>
              </w:rPr>
              <w:t>万元</w:t>
            </w:r>
            <w:r>
              <w:rPr>
                <w:rFonts w:hint="eastAsia" w:ascii="宋体" w:hAnsi="宋体" w:cs="宋体"/>
                <w:b w:val="0"/>
                <w:bCs/>
                <w:color w:val="auto"/>
                <w:kern w:val="0"/>
                <w:szCs w:val="21"/>
                <w:highlight w:val="none"/>
              </w:rPr>
              <w:t>，二标段</w:t>
            </w:r>
            <w:r>
              <w:rPr>
                <w:rFonts w:hint="eastAsia" w:ascii="宋体" w:hAnsi="宋体" w:cs="宋体"/>
                <w:b w:val="0"/>
                <w:bCs/>
                <w:color w:val="auto"/>
                <w:szCs w:val="21"/>
                <w:highlight w:val="none"/>
              </w:rPr>
              <w:t>投标总报价最高限价为</w:t>
            </w:r>
            <w:r>
              <w:rPr>
                <w:rFonts w:hint="eastAsia" w:ascii="宋体" w:hAnsi="宋体" w:cs="宋体"/>
                <w:b w:val="0"/>
                <w:bCs/>
                <w:color w:val="auto"/>
                <w:szCs w:val="21"/>
                <w:highlight w:val="none"/>
                <w:lang w:val="en-US" w:eastAsia="zh-CN"/>
              </w:rPr>
              <w:t>870</w:t>
            </w:r>
            <w:r>
              <w:rPr>
                <w:rFonts w:hint="eastAsia" w:ascii="宋体" w:hAnsi="宋体" w:cs="宋体"/>
                <w:b w:val="0"/>
                <w:bCs/>
                <w:color w:val="auto"/>
                <w:szCs w:val="21"/>
                <w:highlight w:val="none"/>
              </w:rPr>
              <w:t>万元</w:t>
            </w:r>
            <w:r>
              <w:rPr>
                <w:rFonts w:hint="eastAsia" w:ascii="宋体" w:hAnsi="宋体" w:cs="宋体"/>
                <w:b w:val="0"/>
                <w:bCs/>
                <w:color w:val="auto"/>
                <w:kern w:val="0"/>
                <w:szCs w:val="21"/>
                <w:highlight w:val="none"/>
              </w:rPr>
              <w:t>，三标段</w:t>
            </w:r>
            <w:r>
              <w:rPr>
                <w:rFonts w:hint="eastAsia" w:ascii="宋体" w:hAnsi="宋体" w:cs="宋体"/>
                <w:b w:val="0"/>
                <w:bCs/>
                <w:color w:val="auto"/>
                <w:szCs w:val="21"/>
                <w:highlight w:val="none"/>
              </w:rPr>
              <w:t>投标总报价最高限价为2</w:t>
            </w:r>
            <w:r>
              <w:rPr>
                <w:rFonts w:hint="eastAsia" w:ascii="宋体" w:hAnsi="宋体" w:cs="宋体"/>
                <w:b w:val="0"/>
                <w:bCs/>
                <w:color w:val="auto"/>
                <w:szCs w:val="21"/>
                <w:highlight w:val="none"/>
                <w:lang w:val="en-US" w:eastAsia="zh-CN"/>
              </w:rPr>
              <w:t>3</w:t>
            </w:r>
            <w:r>
              <w:rPr>
                <w:rFonts w:hint="eastAsia" w:ascii="宋体" w:hAnsi="宋体" w:cs="宋体"/>
                <w:b w:val="0"/>
                <w:bCs/>
                <w:color w:val="auto"/>
                <w:szCs w:val="21"/>
                <w:highlight w:val="none"/>
              </w:rPr>
              <w:t>0万元；投标人的投标总报价不得超过其最高限价，否则由评标委员会作否决投标处理。</w:t>
            </w:r>
          </w:p>
        </w:tc>
      </w:tr>
      <w:tr w14:paraId="7F033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25">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3.2.5</w:t>
            </w:r>
          </w:p>
        </w:tc>
        <w:tc>
          <w:tcPr>
            <w:tcW w:w="1754" w:type="dxa"/>
            <w:vAlign w:val="center"/>
          </w:tcPr>
          <w:p w14:paraId="7F033E2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投标报价的其他要求</w:t>
            </w:r>
          </w:p>
        </w:tc>
        <w:tc>
          <w:tcPr>
            <w:tcW w:w="6490" w:type="dxa"/>
            <w:vAlign w:val="center"/>
          </w:tcPr>
          <w:p w14:paraId="7F033E27">
            <w:pPr>
              <w:pStyle w:val="2"/>
              <w:tabs>
                <w:tab w:val="left" w:pos="546"/>
                <w:tab w:val="left" w:pos="711"/>
              </w:tabs>
              <w:snapToGrid w:val="0"/>
              <w:spacing w:after="0"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r>
              <w:rPr>
                <w:rFonts w:hint="eastAsia" w:ascii="宋体" w:hAnsi="宋体" w:cs="宋体"/>
                <w:b w:val="0"/>
                <w:bCs/>
                <w:color w:val="auto"/>
                <w:highlight w:val="none"/>
              </w:rPr>
              <w:t>分项报价表中各分项合价必须与依据单价和数量计算出的结果一致，投标总报价必须与各分项合价汇总计算出的结果一致。</w:t>
            </w:r>
            <w:r>
              <w:rPr>
                <w:rFonts w:hint="eastAsia" w:ascii="宋体" w:hAnsi="宋体" w:cs="宋体"/>
                <w:b w:val="0"/>
                <w:bCs/>
                <w:color w:val="auto"/>
                <w:szCs w:val="21"/>
                <w:highlight w:val="none"/>
              </w:rPr>
              <w:t>投标函中的投标总报价必须与已报价的分项报价表中的投标总报价一致。否则由评标委员会作否决投标处理。</w:t>
            </w:r>
          </w:p>
          <w:p w14:paraId="7F033E28">
            <w:pPr>
              <w:pStyle w:val="2"/>
              <w:tabs>
                <w:tab w:val="left" w:pos="546"/>
                <w:tab w:val="left" w:pos="711"/>
              </w:tabs>
              <w:snapToGrid w:val="0"/>
              <w:spacing w:after="0"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2.异常低价警戒线要求</w:t>
            </w:r>
          </w:p>
          <w:p w14:paraId="7F033E29">
            <w:pPr>
              <w:pStyle w:val="2"/>
              <w:tabs>
                <w:tab w:val="left" w:pos="546"/>
                <w:tab w:val="left" w:pos="711"/>
              </w:tabs>
              <w:snapToGrid w:val="0"/>
              <w:spacing w:after="0"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投标总报价异常低价警戒线：</w:t>
            </w:r>
            <w:r>
              <w:rPr>
                <w:rFonts w:hint="eastAsia" w:ascii="宋体" w:hAnsi="宋体" w:cs="宋体"/>
                <w:b w:val="0"/>
                <w:bCs/>
                <w:color w:val="auto"/>
                <w:szCs w:val="21"/>
                <w:highlight w:val="none"/>
                <w:u w:val="single"/>
              </w:rPr>
              <w:t>投标总报价最高限价的70%</w:t>
            </w:r>
            <w:r>
              <w:rPr>
                <w:rFonts w:hint="eastAsia" w:ascii="宋体" w:hAnsi="宋体" w:cs="宋体"/>
                <w:b w:val="0"/>
                <w:bCs/>
                <w:color w:val="auto"/>
                <w:szCs w:val="21"/>
                <w:highlight w:val="none"/>
              </w:rPr>
              <w:t>。</w:t>
            </w:r>
          </w:p>
          <w:p w14:paraId="7F033E2A">
            <w:pPr>
              <w:pStyle w:val="2"/>
              <w:tabs>
                <w:tab w:val="left" w:pos="546"/>
                <w:tab w:val="left" w:pos="711"/>
              </w:tabs>
              <w:snapToGrid w:val="0"/>
              <w:spacing w:after="0"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投标总报价低于招标文件规定的对应的异常低价警戒线的，应提供报价合理性说明，并提供必要的证明材料。投标人提供的说明不得降低或者改变原设计方案、技术工艺、施工标准，不得影响项目的质量、安全、工期、结算等正常履约。</w:t>
            </w:r>
          </w:p>
          <w:p w14:paraId="7F033E2B">
            <w:pPr>
              <w:pStyle w:val="2"/>
              <w:tabs>
                <w:tab w:val="left" w:pos="546"/>
                <w:tab w:val="left" w:pos="711"/>
              </w:tabs>
              <w:snapToGrid w:val="0"/>
              <w:spacing w:after="0"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投标人投标总报价低于招标文件规定的对应的异常低价警戒线的，投标人未提供报价合理性说明或者提供的说明不能证明其报价合理性的，</w:t>
            </w:r>
            <w:r>
              <w:rPr>
                <w:rFonts w:hint="eastAsia" w:ascii="宋体" w:hAnsi="宋体" w:cs="宋体"/>
                <w:b w:val="0"/>
                <w:bCs/>
                <w:color w:val="auto"/>
                <w:highlight w:val="none"/>
              </w:rPr>
              <w:t>由评标委员会作否决投标处理</w:t>
            </w:r>
            <w:r>
              <w:rPr>
                <w:rFonts w:hint="eastAsia" w:ascii="宋体" w:hAnsi="宋体" w:cs="宋体"/>
                <w:b w:val="0"/>
                <w:bCs/>
                <w:color w:val="auto"/>
                <w:szCs w:val="21"/>
                <w:highlight w:val="none"/>
              </w:rPr>
              <w:t>。</w:t>
            </w:r>
          </w:p>
          <w:p w14:paraId="7F033E2C">
            <w:pPr>
              <w:pStyle w:val="2"/>
              <w:spacing w:after="0" w:line="400" w:lineRule="exact"/>
              <w:ind w:firstLine="420" w:firstLineChars="200"/>
              <w:rPr>
                <w:rFonts w:ascii="宋体" w:hAnsi="宋体" w:cs="宋体"/>
                <w:b w:val="0"/>
                <w:bCs/>
                <w:color w:val="auto"/>
                <w:highlight w:val="none"/>
              </w:rPr>
            </w:pPr>
            <w:bookmarkStart w:id="92" w:name="OLE_LINK6"/>
            <w:r>
              <w:rPr>
                <w:rFonts w:hint="eastAsia" w:ascii="宋体" w:hAnsi="宋体" w:cs="宋体"/>
                <w:b w:val="0"/>
                <w:bCs/>
                <w:color w:val="auto"/>
                <w:szCs w:val="21"/>
                <w:highlight w:val="none"/>
              </w:rPr>
              <w:t>3.</w:t>
            </w:r>
            <w:r>
              <w:rPr>
                <w:rFonts w:hint="eastAsia" w:ascii="宋体" w:hAnsi="宋体" w:cs="宋体"/>
                <w:b w:val="0"/>
                <w:bCs/>
                <w:color w:val="auto"/>
                <w:kern w:val="0"/>
                <w:szCs w:val="21"/>
                <w:highlight w:val="none"/>
              </w:rPr>
              <w:t>投标人的单项报价不得为零报价（招标人提供的单项报价最高限价中金额为零的除外）或者负数报价，否则</w:t>
            </w:r>
            <w:r>
              <w:rPr>
                <w:rFonts w:hint="eastAsia" w:ascii="宋体" w:hAnsi="宋体" w:cs="宋体"/>
                <w:b w:val="0"/>
                <w:bCs/>
                <w:color w:val="auto"/>
                <w:highlight w:val="none"/>
              </w:rPr>
              <w:t>由评标委员会作否决投标处理。</w:t>
            </w:r>
            <w:bookmarkEnd w:id="92"/>
          </w:p>
          <w:p w14:paraId="7F033E2D">
            <w:pPr>
              <w:pStyle w:val="2"/>
              <w:tabs>
                <w:tab w:val="left" w:pos="546"/>
                <w:tab w:val="left" w:pos="711"/>
              </w:tabs>
              <w:snapToGrid w:val="0"/>
              <w:spacing w:after="0"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highlight w:val="none"/>
              </w:rPr>
              <w:t>招标人在发出中标通知书前将对中标人的各项报价进行复核，若发现中标人各项报价中存在零报价或者负数报价的情形，招标人按相关规定取消其中标资格，其投标保证金不予退还，中标人承担因此造成的相关责任并赔偿相应损失。</w:t>
            </w:r>
          </w:p>
        </w:tc>
      </w:tr>
      <w:tr w14:paraId="7F033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2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3.3.1</w:t>
            </w:r>
          </w:p>
        </w:tc>
        <w:tc>
          <w:tcPr>
            <w:tcW w:w="1754" w:type="dxa"/>
            <w:vAlign w:val="center"/>
          </w:tcPr>
          <w:p w14:paraId="7F033E3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投标有效期</w:t>
            </w:r>
          </w:p>
        </w:tc>
        <w:tc>
          <w:tcPr>
            <w:tcW w:w="6490" w:type="dxa"/>
            <w:vAlign w:val="center"/>
          </w:tcPr>
          <w:p w14:paraId="7F033E31">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 xml:space="preserve"> 90 </w:t>
            </w:r>
            <w:r>
              <w:rPr>
                <w:rFonts w:hint="eastAsia" w:ascii="宋体" w:hAnsi="宋体" w:cs="宋体"/>
                <w:b w:val="0"/>
                <w:bCs/>
                <w:color w:val="auto"/>
                <w:szCs w:val="21"/>
                <w:highlight w:val="none"/>
              </w:rPr>
              <w:t>日历天（从提交投标文件截止日起计算）</w:t>
            </w:r>
          </w:p>
        </w:tc>
      </w:tr>
      <w:tr w14:paraId="7F033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3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3.4.1</w:t>
            </w:r>
          </w:p>
        </w:tc>
        <w:tc>
          <w:tcPr>
            <w:tcW w:w="1754" w:type="dxa"/>
            <w:vAlign w:val="center"/>
          </w:tcPr>
          <w:p w14:paraId="7F033E3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投标保证金</w:t>
            </w:r>
          </w:p>
        </w:tc>
        <w:tc>
          <w:tcPr>
            <w:tcW w:w="6490" w:type="dxa"/>
            <w:vAlign w:val="center"/>
          </w:tcPr>
          <w:p w14:paraId="7F033E35">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是否要求投标人递交投标保证金：</w:t>
            </w:r>
          </w:p>
          <w:p w14:paraId="7F033E36">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要求，投标人可选择以下二种交纳方式之一：</w:t>
            </w:r>
          </w:p>
          <w:p w14:paraId="7F033E37">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方式一</w:t>
            </w:r>
          </w:p>
          <w:p w14:paraId="7F033E38">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一、以转账支票或电汇形式交纳投标保证金</w:t>
            </w:r>
          </w:p>
          <w:p w14:paraId="7F033E39">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1. </w:t>
            </w:r>
            <w:r>
              <w:rPr>
                <w:rFonts w:hint="eastAsia" w:ascii="宋体" w:hAnsi="宋体" w:cs="宋体"/>
                <w:b w:val="0"/>
                <w:bCs/>
                <w:color w:val="auto"/>
                <w:highlight w:val="none"/>
              </w:rPr>
              <w:t>投标保证金交款形式及要求：投标人从企业的基本账户（开户行）在投标截止时间前通过转账支票直接划付或以电汇方式直接划付至指定的投标保证金账户。若投标截止时间延期，则投标保证金提交的截止时间和投标截止时间应当保持一致。不满足上述要求的投标保证金视为无效。</w:t>
            </w:r>
          </w:p>
          <w:p w14:paraId="7F033E3A">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投标人自行考虑汇入时间风险，如同城汇入、异地汇入、跨行汇入的时间要求。</w:t>
            </w:r>
          </w:p>
          <w:p w14:paraId="7F033E3B">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2. </w:t>
            </w:r>
            <w:r>
              <w:rPr>
                <w:rFonts w:hint="eastAsia" w:ascii="宋体" w:hAnsi="宋体" w:cs="宋体"/>
                <w:b w:val="0"/>
                <w:bCs/>
                <w:color w:val="auto"/>
                <w:highlight w:val="none"/>
              </w:rPr>
              <w:t>以转账支票或电汇形式提交投标保证金的金额：</w:t>
            </w:r>
            <w:r>
              <w:rPr>
                <w:rFonts w:hint="eastAsia" w:ascii="宋体" w:hAnsi="宋体" w:cs="宋体"/>
                <w:b w:val="0"/>
                <w:bCs/>
                <w:color w:val="auto"/>
                <w:highlight w:val="none"/>
                <w:u w:val="single"/>
              </w:rPr>
              <w:t>一标段：</w:t>
            </w:r>
            <w:r>
              <w:rPr>
                <w:rFonts w:hint="eastAsia" w:ascii="宋体" w:hAnsi="宋体" w:cs="宋体"/>
                <w:b w:val="0"/>
                <w:bCs/>
                <w:color w:val="auto"/>
                <w:highlight w:val="none"/>
                <w:u w:val="single"/>
                <w:lang w:val="en-US" w:eastAsia="zh-CN"/>
              </w:rPr>
              <w:t>6</w:t>
            </w:r>
            <w:r>
              <w:rPr>
                <w:rFonts w:hint="eastAsia" w:ascii="宋体" w:hAnsi="宋体" w:cs="宋体"/>
                <w:b w:val="0"/>
                <w:bCs/>
                <w:color w:val="auto"/>
                <w:highlight w:val="none"/>
                <w:u w:val="single"/>
              </w:rPr>
              <w:t>万元、二标段：</w:t>
            </w:r>
            <w:r>
              <w:rPr>
                <w:rFonts w:hint="eastAsia" w:ascii="宋体" w:hAnsi="宋体" w:cs="宋体"/>
                <w:b w:val="0"/>
                <w:bCs/>
                <w:color w:val="auto"/>
                <w:highlight w:val="none"/>
                <w:u w:val="single"/>
                <w:lang w:val="en-US" w:eastAsia="zh-CN"/>
              </w:rPr>
              <w:t>17</w:t>
            </w:r>
            <w:r>
              <w:rPr>
                <w:rFonts w:hint="eastAsia" w:ascii="宋体" w:hAnsi="宋体" w:cs="宋体"/>
                <w:b w:val="0"/>
                <w:bCs/>
                <w:color w:val="auto"/>
                <w:highlight w:val="none"/>
                <w:u w:val="single"/>
              </w:rPr>
              <w:t>万元、三标段：</w:t>
            </w:r>
            <w:r>
              <w:rPr>
                <w:rFonts w:hint="eastAsia" w:ascii="宋体" w:hAnsi="宋体" w:cs="宋体"/>
                <w:b w:val="0"/>
                <w:bCs/>
                <w:color w:val="auto"/>
                <w:highlight w:val="none"/>
                <w:u w:val="single"/>
                <w:lang w:val="en-US" w:eastAsia="zh-CN"/>
              </w:rPr>
              <w:t>4</w:t>
            </w:r>
            <w:r>
              <w:rPr>
                <w:rFonts w:hint="eastAsia" w:ascii="宋体" w:hAnsi="宋体" w:cs="宋体"/>
                <w:b w:val="0"/>
                <w:bCs/>
                <w:color w:val="auto"/>
                <w:highlight w:val="none"/>
                <w:u w:val="single"/>
              </w:rPr>
              <w:t>万元</w:t>
            </w:r>
            <w:r>
              <w:rPr>
                <w:rFonts w:hint="eastAsia" w:ascii="宋体" w:hAnsi="宋体" w:cs="宋体"/>
                <w:b w:val="0"/>
                <w:bCs/>
                <w:color w:val="auto"/>
                <w:highlight w:val="none"/>
              </w:rPr>
              <w:t>整（人民币）。</w:t>
            </w:r>
          </w:p>
          <w:p w14:paraId="7F033E3C">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3. </w:t>
            </w:r>
            <w:r>
              <w:rPr>
                <w:rFonts w:hint="eastAsia" w:ascii="宋体" w:hAnsi="宋体" w:cs="宋体"/>
                <w:b w:val="0"/>
                <w:bCs/>
                <w:color w:val="auto"/>
                <w:highlight w:val="none"/>
              </w:rPr>
              <w:t>投标保证金账户及账号（任选其一）：</w:t>
            </w:r>
          </w:p>
          <w:p w14:paraId="43BE9523">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名称：重庆三航新材料技术研究院有限公司</w:t>
            </w:r>
          </w:p>
          <w:p w14:paraId="4F43B8BC">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纳税人识别号：91500000MA613BB05L</w:t>
            </w:r>
          </w:p>
          <w:p w14:paraId="685A6D52">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 xml:space="preserve">地址、电话：重庆市渝北区龙兴镇普福大道 36 号 A501 </w:t>
            </w:r>
          </w:p>
          <w:p w14:paraId="7F033E3D">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开户行及账号：中国农业银行股份有限公司重庆两江分行营业部 31080101040045535</w:t>
            </w:r>
          </w:p>
          <w:p w14:paraId="7F033E3E">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投标保证金以</w:t>
            </w:r>
            <w:r>
              <w:rPr>
                <w:rFonts w:hint="eastAsia" w:ascii="宋体" w:hAnsi="宋体" w:cs="宋体"/>
                <w:b w:val="0"/>
                <w:bCs/>
                <w:color w:val="auto"/>
                <w:highlight w:val="none"/>
                <w:u w:val="single"/>
              </w:rPr>
              <w:t>招标人或招标代理机构</w:t>
            </w:r>
            <w:r>
              <w:rPr>
                <w:rFonts w:hint="eastAsia" w:ascii="宋体" w:hAnsi="宋体" w:cs="宋体"/>
                <w:b w:val="0"/>
                <w:bCs/>
                <w:color w:val="auto"/>
                <w:highlight w:val="none"/>
              </w:rPr>
              <w:t>开标现场展示的保证金交纳情况为准。投标人须在投标文件资格审查部分“其他资料”中提供企业基本账户开户证明文件。</w:t>
            </w:r>
          </w:p>
          <w:p w14:paraId="7F033E3F">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4. </w:t>
            </w:r>
            <w:r>
              <w:rPr>
                <w:rFonts w:hint="eastAsia" w:ascii="宋体" w:hAnsi="宋体" w:cs="宋体"/>
                <w:b w:val="0"/>
                <w:bCs/>
                <w:color w:val="auto"/>
                <w:highlight w:val="none"/>
              </w:rPr>
              <w:t>投标人必须在付款凭证备注栏中注明是“</w:t>
            </w:r>
            <w:r>
              <w:rPr>
                <w:rFonts w:hint="eastAsia" w:ascii="宋体" w:hAnsi="宋体" w:cs="宋体"/>
                <w:b w:val="0"/>
                <w:bCs/>
                <w:color w:val="auto"/>
                <w:highlight w:val="none"/>
                <w:u w:val="single"/>
              </w:rPr>
              <w:t xml:space="preserve"> 重庆三航新材料技术研究院有限公司泸州项目设备</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rPr>
              <w:t>标段</w:t>
            </w:r>
            <w:r>
              <w:rPr>
                <w:rFonts w:hint="eastAsia" w:ascii="宋体" w:hAnsi="宋体" w:cs="宋体"/>
                <w:b w:val="0"/>
                <w:bCs/>
                <w:color w:val="auto"/>
                <w:highlight w:val="none"/>
              </w:rPr>
              <w:t>投标保证金”。项目名称可简写。</w:t>
            </w:r>
          </w:p>
          <w:p w14:paraId="7F033E40">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5. </w:t>
            </w:r>
            <w:r>
              <w:rPr>
                <w:rFonts w:hint="eastAsia" w:ascii="宋体" w:hAnsi="宋体" w:cs="宋体"/>
                <w:b w:val="0"/>
                <w:bCs/>
                <w:color w:val="auto"/>
                <w:highlight w:val="none"/>
              </w:rPr>
              <w:t>投标保证金有效期与投标有效期一致。</w:t>
            </w:r>
          </w:p>
          <w:p w14:paraId="7F033E41">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二、投标保证金的退还</w:t>
            </w:r>
          </w:p>
          <w:p w14:paraId="7F033E42">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招标人应当在法定时间内确定中标人。招标人应当在中标通知书发出后5日内，向除中标人以外的投标人，退还投标保证金及银行同期活期存款利息。</w:t>
            </w:r>
          </w:p>
          <w:p w14:paraId="7F033E43">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招标人应当在法定时间内和中标人签订合同。招标人应当在招标人与中标人签订合同后5日内，向中标人退还投标保证金及银行同期活期存款利息。</w:t>
            </w:r>
          </w:p>
          <w:p w14:paraId="7F033E44">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方式二</w:t>
            </w:r>
          </w:p>
          <w:p w14:paraId="7F033E45">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一、以纸质投标保函形式交纳投标保证金</w:t>
            </w:r>
          </w:p>
          <w:p w14:paraId="7F033E46">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1</w:t>
            </w:r>
            <w:r>
              <w:rPr>
                <w:rFonts w:hint="eastAsia" w:ascii="宋体" w:hAnsi="宋体" w:cs="宋体"/>
                <w:b w:val="0"/>
                <w:bCs/>
                <w:color w:val="auto"/>
                <w:highlight w:val="none"/>
              </w:rPr>
              <w:t>. 纸质投标保函交纳形式及要求：</w:t>
            </w:r>
          </w:p>
          <w:p w14:paraId="7F033E47">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（1）交纳形式：纸质投标保函包括银行保函、保证保险和担保保函，其示范文本详见第六章投标文件格式。投标人提交的纸质投标保函应严格执行其示范文本，不得对示范文本中的实质性内容进行修改。</w:t>
            </w:r>
          </w:p>
          <w:p w14:paraId="7F033E48">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2）具体要求：纸质投标保函的开立人应当是具有相应资格的银行、保险机构、融资担保公司，其信用资质、履约能力、担保能力、赔付流程、安全保密等应符合工程保函业务条件。纸质投标保函应合法合规，符合招投标行政监督部门、行业主管部门和金融监管部门的相关规定，满足招标文件约定要求。投标人应选择在渝依法设立总部或者设有分支机构的金融机构开具纸质投标保函。投标人对所提交的纸质投标保函的真实性、合法性、有效性负责。</w:t>
            </w:r>
          </w:p>
          <w:p w14:paraId="7F033E49">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投标人须在投标文件资格审查部分“其他资料”中提供纸质投标保函扫描件，纸质投标保函原件应当于投标截止时间前在开标现场递交招标人保管。</w:t>
            </w:r>
          </w:p>
          <w:p w14:paraId="7F033E4A">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若投标截止时间延期，则纸质投标保函递交的截止时间和投标截止时间保持一致。</w:t>
            </w:r>
          </w:p>
          <w:p w14:paraId="7F033E4B">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不满足上述要求的纸质投标保函视为无效。</w:t>
            </w:r>
          </w:p>
          <w:p w14:paraId="7F033E4C">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2</w:t>
            </w:r>
            <w:r>
              <w:rPr>
                <w:rFonts w:hint="eastAsia" w:ascii="宋体" w:hAnsi="宋体" w:cs="宋体"/>
                <w:b w:val="0"/>
                <w:bCs/>
                <w:color w:val="auto"/>
                <w:highlight w:val="none"/>
              </w:rPr>
              <w:t>. 以纸质投标保函形式担保的投标保证金的金额：</w:t>
            </w:r>
            <w:r>
              <w:rPr>
                <w:rFonts w:hint="eastAsia" w:ascii="宋体" w:hAnsi="宋体" w:cs="宋体"/>
                <w:b w:val="0"/>
                <w:bCs/>
                <w:color w:val="auto"/>
                <w:highlight w:val="none"/>
                <w:u w:val="single"/>
              </w:rPr>
              <w:t>一标段：</w:t>
            </w:r>
            <w:r>
              <w:rPr>
                <w:rFonts w:hint="eastAsia" w:ascii="宋体" w:hAnsi="宋体" w:cs="宋体"/>
                <w:b w:val="0"/>
                <w:bCs/>
                <w:color w:val="auto"/>
                <w:highlight w:val="none"/>
                <w:u w:val="single"/>
                <w:lang w:val="en-US" w:eastAsia="zh-CN"/>
              </w:rPr>
              <w:t>6</w:t>
            </w:r>
            <w:r>
              <w:rPr>
                <w:rFonts w:hint="eastAsia" w:ascii="宋体" w:hAnsi="宋体" w:cs="宋体"/>
                <w:b w:val="0"/>
                <w:bCs/>
                <w:color w:val="auto"/>
                <w:highlight w:val="none"/>
                <w:u w:val="single"/>
              </w:rPr>
              <w:t>万元、二标段：</w:t>
            </w:r>
            <w:r>
              <w:rPr>
                <w:rFonts w:hint="eastAsia" w:ascii="宋体" w:hAnsi="宋体" w:cs="宋体"/>
                <w:b w:val="0"/>
                <w:bCs/>
                <w:color w:val="auto"/>
                <w:highlight w:val="none"/>
                <w:u w:val="single"/>
                <w:lang w:val="en-US" w:eastAsia="zh-CN"/>
              </w:rPr>
              <w:t>17</w:t>
            </w:r>
            <w:r>
              <w:rPr>
                <w:rFonts w:hint="eastAsia" w:ascii="宋体" w:hAnsi="宋体" w:cs="宋体"/>
                <w:b w:val="0"/>
                <w:bCs/>
                <w:color w:val="auto"/>
                <w:highlight w:val="none"/>
                <w:u w:val="single"/>
              </w:rPr>
              <w:t>万元、三标段：</w:t>
            </w:r>
            <w:r>
              <w:rPr>
                <w:rFonts w:hint="eastAsia" w:ascii="宋体" w:hAnsi="宋体" w:cs="宋体"/>
                <w:b w:val="0"/>
                <w:bCs/>
                <w:color w:val="auto"/>
                <w:highlight w:val="none"/>
                <w:u w:val="single"/>
                <w:lang w:val="en-US" w:eastAsia="zh-CN"/>
              </w:rPr>
              <w:t>4</w:t>
            </w:r>
            <w:r>
              <w:rPr>
                <w:rFonts w:hint="eastAsia" w:ascii="宋体" w:hAnsi="宋体" w:cs="宋体"/>
                <w:b w:val="0"/>
                <w:bCs/>
                <w:color w:val="auto"/>
                <w:highlight w:val="none"/>
                <w:u w:val="single"/>
              </w:rPr>
              <w:t>万元</w:t>
            </w:r>
            <w:r>
              <w:rPr>
                <w:rFonts w:hint="eastAsia" w:ascii="宋体" w:hAnsi="宋体" w:cs="宋体"/>
                <w:b w:val="0"/>
                <w:bCs/>
                <w:color w:val="auto"/>
                <w:highlight w:val="none"/>
              </w:rPr>
              <w:t>整（人民币）。</w:t>
            </w:r>
          </w:p>
          <w:p w14:paraId="7F033E4D">
            <w:pPr>
              <w:snapToGrid w:val="0"/>
              <w:spacing w:line="400" w:lineRule="exact"/>
              <w:ind w:firstLine="420" w:firstLineChars="200"/>
              <w:rPr>
                <w:rFonts w:ascii="宋体" w:hAnsi="宋体" w:cs="宋体"/>
                <w:b w:val="0"/>
                <w:bCs/>
                <w:color w:val="auto"/>
                <w:highlight w:val="none"/>
              </w:rPr>
            </w:pPr>
            <w:r>
              <w:rPr>
                <w:rFonts w:ascii="宋体" w:hAnsi="宋体" w:cs="宋体"/>
                <w:b w:val="0"/>
                <w:bCs/>
                <w:color w:val="auto"/>
                <w:highlight w:val="none"/>
              </w:rPr>
              <w:t xml:space="preserve">3. </w:t>
            </w:r>
            <w:r>
              <w:rPr>
                <w:rFonts w:hint="eastAsia" w:ascii="宋体" w:hAnsi="宋体" w:cs="宋体"/>
                <w:b w:val="0"/>
                <w:bCs/>
                <w:color w:val="auto"/>
                <w:highlight w:val="none"/>
              </w:rPr>
              <w:t>投标人须在纸质投标保函中注明在重庆市辖区范围内的核验地址和核验方式，并确保其递交的纸质投标保函能在开立人在渝的总部或者分支机构进行核验。</w:t>
            </w:r>
          </w:p>
          <w:p w14:paraId="7F033E4E">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4. 投标人在开标现场递交的纸质投标保函原件应与投标文件中提供的纸质投标保函扫描件一致，否则由评标委员会作否决投标处理。</w:t>
            </w:r>
          </w:p>
          <w:p w14:paraId="7F033E4F">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5. 在发出中标通知书前，招标人应当对投标人（至少中标候选人或中标人）递交的纸质投标保函的真实性、合法性、有效性进行核验，对核验不合格或无法按纸质投标保函注明的核验地点、核验方式进行核验的，视为投标人未提交纸质投标保函，对已取得中标候选人资格或中标资格的投标人，按相关规定取消中标候选人资格或中标资格，给招标人造成损失的，投标人依法承担赔偿责任。投标人提交的纸质投标保函涉及弄虚作假或其他违法违规情形的，移送相关部门处理。</w:t>
            </w:r>
          </w:p>
          <w:p w14:paraId="7F033E50">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二、纸质投标保函的退还、注销</w:t>
            </w:r>
          </w:p>
          <w:p w14:paraId="7F033E51">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highlight w:val="none"/>
              </w:rPr>
              <w:t>招标人应当在法定时间内确定中标人。招标人应当在中标通知书发出后5日内，向除中标人以外的其他投标人退还纸质投标保函正本，并书面通知相关金融机构本项目准予提前注销纸质投标保函。具体注销事宜由投标人与金融机构协商。</w:t>
            </w:r>
          </w:p>
          <w:p w14:paraId="7F033E52">
            <w:pPr>
              <w:snapToGrid w:val="0"/>
              <w:spacing w:line="400" w:lineRule="exact"/>
              <w:ind w:firstLine="420" w:firstLineChars="200"/>
              <w:jc w:val="left"/>
              <w:rPr>
                <w:rFonts w:ascii="宋体" w:hAnsi="宋体" w:cs="宋体"/>
                <w:b w:val="0"/>
                <w:bCs/>
                <w:color w:val="auto"/>
                <w:highlight w:val="none"/>
              </w:rPr>
            </w:pPr>
            <w:r>
              <w:rPr>
                <w:rFonts w:hint="eastAsia" w:ascii="宋体" w:hAnsi="宋体" w:cs="宋体"/>
                <w:b w:val="0"/>
                <w:bCs/>
                <w:color w:val="auto"/>
                <w:highlight w:val="none"/>
              </w:rPr>
              <w:t>招标人应当在法定时间内和中标人签订合同。招标人应当在招标人与中标人签订合同后5日内，向中标人退还纸质投标保函正本，并书面通知相关金融机构本项目准予提前注销纸质投标保函。具体注销事宜由投标人与金融机构协商。</w:t>
            </w:r>
          </w:p>
        </w:tc>
      </w:tr>
      <w:tr w14:paraId="7F033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5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3.4.4</w:t>
            </w:r>
          </w:p>
        </w:tc>
        <w:tc>
          <w:tcPr>
            <w:tcW w:w="1754" w:type="dxa"/>
            <w:vAlign w:val="center"/>
          </w:tcPr>
          <w:p w14:paraId="7F033E55">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其他不予退还投标保证金的情形</w:t>
            </w:r>
          </w:p>
        </w:tc>
        <w:tc>
          <w:tcPr>
            <w:tcW w:w="6490" w:type="dxa"/>
            <w:vAlign w:val="center"/>
          </w:tcPr>
          <w:p w14:paraId="7F033E56">
            <w:pPr>
              <w:snapToGrid w:val="0"/>
              <w:spacing w:line="400" w:lineRule="exact"/>
              <w:ind w:firstLine="420" w:firstLineChars="200"/>
              <w:jc w:val="left"/>
              <w:rPr>
                <w:rFonts w:ascii="宋体" w:hAnsi="宋体" w:cs="宋体"/>
                <w:b w:val="0"/>
                <w:bCs/>
                <w:color w:val="auto"/>
                <w:highlight w:val="none"/>
              </w:rPr>
            </w:pPr>
            <w:r>
              <w:rPr>
                <w:rFonts w:hint="eastAsia" w:ascii="宋体" w:hAnsi="宋体" w:cs="宋体"/>
                <w:b w:val="0"/>
                <w:bCs/>
                <w:i/>
                <w:color w:val="auto"/>
                <w:szCs w:val="21"/>
                <w:highlight w:val="none"/>
              </w:rPr>
              <w:t>/</w:t>
            </w:r>
          </w:p>
        </w:tc>
      </w:tr>
      <w:tr w14:paraId="7F033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5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3.6.1</w:t>
            </w:r>
          </w:p>
        </w:tc>
        <w:tc>
          <w:tcPr>
            <w:tcW w:w="1754" w:type="dxa"/>
            <w:vAlign w:val="center"/>
          </w:tcPr>
          <w:p w14:paraId="7F033E59">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是否允许递交</w:t>
            </w:r>
          </w:p>
          <w:p w14:paraId="7F033E5A">
            <w:pPr>
              <w:snapToGrid w:val="0"/>
              <w:spacing w:after="72" w:afterLines="30"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备选投标方案</w:t>
            </w:r>
          </w:p>
        </w:tc>
        <w:tc>
          <w:tcPr>
            <w:tcW w:w="6490" w:type="dxa"/>
            <w:vAlign w:val="center"/>
          </w:tcPr>
          <w:p w14:paraId="7F033E5B">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不允许</w:t>
            </w:r>
          </w:p>
        </w:tc>
      </w:tr>
      <w:tr w14:paraId="7F033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5D">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3.7.1</w:t>
            </w:r>
          </w:p>
        </w:tc>
        <w:tc>
          <w:tcPr>
            <w:tcW w:w="1754" w:type="dxa"/>
            <w:vAlign w:val="center"/>
          </w:tcPr>
          <w:p w14:paraId="7F033E5E">
            <w:pPr>
              <w:snapToGrid w:val="0"/>
              <w:spacing w:after="72" w:afterLines="30"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投标文件格式要求</w:t>
            </w:r>
          </w:p>
        </w:tc>
        <w:tc>
          <w:tcPr>
            <w:tcW w:w="6490" w:type="dxa"/>
            <w:vAlign w:val="center"/>
          </w:tcPr>
          <w:p w14:paraId="7F033E5F">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编制投标文件时不得对第六章“投标文件格式”的相应要素作实质性修改，否则视为重大偏差，由评标委员会作否决投标处理。</w:t>
            </w:r>
          </w:p>
        </w:tc>
      </w:tr>
      <w:tr w14:paraId="7F033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6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3.7.3</w:t>
            </w:r>
          </w:p>
        </w:tc>
        <w:tc>
          <w:tcPr>
            <w:tcW w:w="1754" w:type="dxa"/>
            <w:vAlign w:val="center"/>
          </w:tcPr>
          <w:p w14:paraId="7F033E6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签名盖章要求</w:t>
            </w:r>
          </w:p>
        </w:tc>
        <w:tc>
          <w:tcPr>
            <w:tcW w:w="6490" w:type="dxa"/>
            <w:vAlign w:val="center"/>
          </w:tcPr>
          <w:p w14:paraId="7F033E63">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文件应用不褪色的材料书写或打印，并由投标人的法定代表人或其委托代理人在招标文件规定的位置按招标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14:paraId="7F033E64">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未按上述规定执行的，交由评标委员会作否决投标处理。</w:t>
            </w:r>
          </w:p>
        </w:tc>
      </w:tr>
      <w:tr w14:paraId="7F033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6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3.7.4</w:t>
            </w:r>
          </w:p>
        </w:tc>
        <w:tc>
          <w:tcPr>
            <w:tcW w:w="1754" w:type="dxa"/>
            <w:vAlign w:val="center"/>
          </w:tcPr>
          <w:p w14:paraId="7F033E67">
            <w:pPr>
              <w:snapToGrid w:val="0"/>
              <w:spacing w:line="400" w:lineRule="exact"/>
              <w:rPr>
                <w:rFonts w:hint="eastAsia" w:ascii="宋体" w:hAnsi="宋体" w:cs="宋体"/>
                <w:b w:val="0"/>
                <w:bCs/>
                <w:color w:val="auto"/>
                <w:spacing w:val="-6"/>
                <w:kern w:val="0"/>
                <w:szCs w:val="21"/>
                <w:highlight w:val="none"/>
              </w:rPr>
            </w:pPr>
            <w:r>
              <w:rPr>
                <w:rFonts w:hint="eastAsia" w:ascii="宋体" w:hAnsi="宋体" w:cs="宋体"/>
                <w:b w:val="0"/>
                <w:bCs/>
                <w:color w:val="auto"/>
                <w:spacing w:val="-6"/>
                <w:kern w:val="0"/>
                <w:szCs w:val="21"/>
                <w:highlight w:val="none"/>
              </w:rPr>
              <w:t>投标文件的份数</w:t>
            </w:r>
          </w:p>
        </w:tc>
        <w:tc>
          <w:tcPr>
            <w:tcW w:w="6490" w:type="dxa"/>
            <w:vAlign w:val="center"/>
          </w:tcPr>
          <w:p w14:paraId="7F033E68">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投标文件正本1份、副本2份，电子版形式（光盘）1份，</w:t>
            </w:r>
            <w:r>
              <w:rPr>
                <w:rFonts w:hint="eastAsia" w:ascii="宋体" w:hAnsi="宋体" w:cs="宋体"/>
                <w:b w:val="0"/>
                <w:bCs/>
                <w:snapToGrid w:val="0"/>
                <w:color w:val="auto"/>
                <w:kern w:val="0"/>
                <w:szCs w:val="21"/>
                <w:highlight w:val="none"/>
              </w:rPr>
              <w:t>《供货方案》不分正副本</w:t>
            </w:r>
            <w:r>
              <w:rPr>
                <w:rFonts w:hint="eastAsia" w:ascii="宋体" w:hAnsi="宋体" w:cs="宋体"/>
                <w:b w:val="0"/>
                <w:bCs/>
                <w:color w:val="auto"/>
                <w:kern w:val="0"/>
                <w:szCs w:val="21"/>
                <w:highlight w:val="none"/>
              </w:rPr>
              <w:t>。当副本和正本不一致时，以正本为准。否则由评标委员会作否决投标处理。</w:t>
            </w:r>
          </w:p>
          <w:p w14:paraId="7F033E69">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电子版形式（光盘）：应包含投标文件正本盖章扫描件及</w:t>
            </w:r>
            <w:r>
              <w:rPr>
                <w:rFonts w:hint="eastAsia" w:ascii="宋体" w:hAnsi="宋体" w:cs="宋体"/>
                <w:b w:val="0"/>
                <w:bCs/>
                <w:snapToGrid w:val="0"/>
                <w:color w:val="auto"/>
                <w:kern w:val="0"/>
                <w:szCs w:val="21"/>
                <w:highlight w:val="none"/>
              </w:rPr>
              <w:t>《供货方案》电子版，</w:t>
            </w:r>
            <w:r>
              <w:rPr>
                <w:rFonts w:hint="eastAsia" w:ascii="宋体" w:hAnsi="宋体" w:cs="宋体"/>
                <w:b w:val="0"/>
                <w:bCs/>
                <w:color w:val="auto"/>
                <w:kern w:val="0"/>
                <w:szCs w:val="21"/>
                <w:highlight w:val="none"/>
              </w:rPr>
              <w:t>必须刻入光盘中。</w:t>
            </w:r>
          </w:p>
          <w:p w14:paraId="7F033E6A">
            <w:pPr>
              <w:autoSpaceDE w:val="0"/>
              <w:autoSpaceDN w:val="0"/>
              <w:adjustRightInd w:val="0"/>
              <w:snapToGrid w:val="0"/>
              <w:spacing w:after="72" w:afterLines="30" w:line="400" w:lineRule="exact"/>
              <w:ind w:firstLine="420" w:firstLineChars="200"/>
              <w:rPr>
                <w:rFonts w:ascii="宋体" w:hAnsi="宋体" w:cs="宋体"/>
                <w:b w:val="0"/>
                <w:bCs/>
                <w:color w:val="auto"/>
                <w:highlight w:val="none"/>
                <w:u w:val="single"/>
              </w:rPr>
            </w:pPr>
            <w:r>
              <w:rPr>
                <w:rFonts w:hint="eastAsia" w:ascii="宋体" w:hAnsi="宋体" w:cs="宋体"/>
                <w:b w:val="0"/>
                <w:bCs/>
                <w:color w:val="auto"/>
                <w:kern w:val="0"/>
                <w:szCs w:val="21"/>
                <w:highlight w:val="none"/>
              </w:rPr>
              <w:t>注：在核发中标通知书时，中标人应另外补充一式</w:t>
            </w:r>
            <w:r>
              <w:rPr>
                <w:rFonts w:hint="eastAsia" w:ascii="宋体" w:hAnsi="宋体" w:cs="宋体"/>
                <w:b w:val="0"/>
                <w:bCs/>
                <w:color w:val="auto"/>
                <w:kern w:val="0"/>
                <w:szCs w:val="21"/>
                <w:highlight w:val="none"/>
                <w:u w:val="single"/>
              </w:rPr>
              <w:t xml:space="preserve"> 3 </w:t>
            </w:r>
            <w:r>
              <w:rPr>
                <w:rFonts w:hint="eastAsia" w:ascii="宋体" w:hAnsi="宋体" w:cs="宋体"/>
                <w:b w:val="0"/>
                <w:bCs/>
                <w:color w:val="auto"/>
                <w:kern w:val="0"/>
                <w:szCs w:val="21"/>
                <w:highlight w:val="none"/>
              </w:rPr>
              <w:t>份投标文件。</w:t>
            </w:r>
          </w:p>
        </w:tc>
      </w:tr>
      <w:tr w14:paraId="7F033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6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3.7.5</w:t>
            </w:r>
          </w:p>
        </w:tc>
        <w:tc>
          <w:tcPr>
            <w:tcW w:w="1754" w:type="dxa"/>
            <w:vAlign w:val="center"/>
          </w:tcPr>
          <w:p w14:paraId="7F033E6D">
            <w:pPr>
              <w:snapToGrid w:val="0"/>
              <w:spacing w:line="400" w:lineRule="exact"/>
              <w:jc w:val="center"/>
              <w:rPr>
                <w:rFonts w:hint="eastAsia" w:ascii="宋体" w:hAnsi="宋体" w:cs="宋体"/>
                <w:b w:val="0"/>
                <w:bCs/>
                <w:color w:val="auto"/>
                <w:spacing w:val="-6"/>
                <w:kern w:val="0"/>
                <w:szCs w:val="21"/>
                <w:highlight w:val="none"/>
              </w:rPr>
            </w:pPr>
            <w:r>
              <w:rPr>
                <w:rFonts w:hint="eastAsia" w:ascii="宋体" w:hAnsi="宋体" w:cs="宋体"/>
                <w:b w:val="0"/>
                <w:bCs/>
                <w:color w:val="auto"/>
                <w:kern w:val="0"/>
                <w:szCs w:val="21"/>
                <w:highlight w:val="none"/>
              </w:rPr>
              <w:t>编制要求</w:t>
            </w:r>
          </w:p>
        </w:tc>
        <w:tc>
          <w:tcPr>
            <w:tcW w:w="6490" w:type="dxa"/>
            <w:vAlign w:val="center"/>
          </w:tcPr>
          <w:p w14:paraId="7F033E6E">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具体要求：</w:t>
            </w:r>
          </w:p>
          <w:p w14:paraId="7F033E6F">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（1）投标函部分</w:t>
            </w:r>
          </w:p>
          <w:p w14:paraId="7F033E70">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应按照第六章规定格式排版，原则上应编制目录，但不得将目录编制作为评审因素。</w:t>
            </w:r>
          </w:p>
          <w:p w14:paraId="7F033E71">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w:t>
            </w:r>
            <w:r>
              <w:rPr>
                <w:rFonts w:ascii="宋体" w:hAnsi="宋体" w:cs="宋体"/>
                <w:b w:val="0"/>
                <w:bCs/>
                <w:color w:val="auto"/>
                <w:highlight w:val="none"/>
              </w:rPr>
              <w:t>2</w:t>
            </w:r>
            <w:r>
              <w:rPr>
                <w:rFonts w:hint="eastAsia" w:ascii="宋体" w:hAnsi="宋体" w:cs="宋体"/>
                <w:b w:val="0"/>
                <w:bCs/>
                <w:color w:val="auto"/>
                <w:highlight w:val="none"/>
              </w:rPr>
              <w:t>）商务部分（如有）</w:t>
            </w:r>
          </w:p>
          <w:p w14:paraId="7F033E72">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应按照第六章规定格式排版，原则上应编制目录，但不得将目录编制作为评审因素。</w:t>
            </w:r>
          </w:p>
          <w:p w14:paraId="7F033E73">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w:t>
            </w:r>
            <w:r>
              <w:rPr>
                <w:rFonts w:ascii="宋体" w:hAnsi="宋体" w:cs="宋体"/>
                <w:b w:val="0"/>
                <w:bCs/>
                <w:color w:val="auto"/>
                <w:highlight w:val="none"/>
              </w:rPr>
              <w:t>3</w:t>
            </w:r>
            <w:r>
              <w:rPr>
                <w:rFonts w:hint="eastAsia" w:ascii="宋体" w:hAnsi="宋体" w:cs="宋体"/>
                <w:b w:val="0"/>
                <w:bCs/>
                <w:color w:val="auto"/>
                <w:highlight w:val="none"/>
              </w:rPr>
              <w:t>）技术部分（如有）</w:t>
            </w:r>
          </w:p>
          <w:p w14:paraId="7F033E74">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《供货方案》面页使用A4厚型白纸面页，用初号仿宋字体居中标明 “供货方案”；在页面右下角加盖投标单位章后沿密封线折叠成腰约10cm左右的等腰直角三角形密封；面页除了“供货方案”四字和右下角密封处印章外不得有其他印记；密封后的面页及整个《供货方案》均不得</w:t>
            </w:r>
            <w:r>
              <w:rPr>
                <w:rFonts w:hint="eastAsia" w:ascii="宋体" w:hAnsi="宋体" w:cs="宋体"/>
                <w:b w:val="0"/>
                <w:bCs/>
                <w:color w:val="auto"/>
                <w:szCs w:val="21"/>
                <w:highlight w:val="none"/>
              </w:rPr>
              <w:t>出现白页、残页和倒页，不得</w:t>
            </w:r>
            <w:r>
              <w:rPr>
                <w:rFonts w:hint="eastAsia" w:ascii="宋体" w:hAnsi="宋体" w:cs="宋体"/>
                <w:b w:val="0"/>
                <w:bCs/>
                <w:color w:val="auto"/>
                <w:kern w:val="0"/>
                <w:szCs w:val="21"/>
                <w:highlight w:val="none"/>
              </w:rPr>
              <w:t>显示与投标人企业有关的任何信息及与本工程无关内容（面页由投标人按招标文件中提供的电子文档格式用A4厚型白纸打印，加盖单位法人章后其面页的反面以不得显示出单位法人章单位名称为准）；《供货方案》文本部分的纸张采用A4白纸，文本部分的文字采用四号仿宋字体；图表部分的纸张采用A4或A3白纸，图表内的字体、字号大小不限；文字、图表不得使用彩色和不得编制页码。违反上述任何一项，采用综合评估法的其投标文件《供货方案》部分为零分。</w:t>
            </w:r>
          </w:p>
          <w:p w14:paraId="7F033E75">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（《供货方案》原则上不超过</w:t>
            </w:r>
            <w:r>
              <w:rPr>
                <w:rFonts w:ascii="宋体" w:hAnsi="宋体" w:cs="宋体"/>
                <w:b w:val="0"/>
                <w:bCs/>
                <w:color w:val="auto"/>
                <w:highlight w:val="none"/>
                <w:u w:val="single"/>
              </w:rPr>
              <w:t xml:space="preserve"> 200</w:t>
            </w:r>
            <w:r>
              <w:rPr>
                <w:rFonts w:hint="eastAsia" w:ascii="宋体" w:hAnsi="宋体" w:cs="宋体"/>
                <w:b w:val="0"/>
                <w:bCs/>
                <w:color w:val="auto"/>
                <w:highlight w:val="none"/>
              </w:rPr>
              <w:t>页，但不得将页数作为评审因素。）</w:t>
            </w:r>
          </w:p>
          <w:p w14:paraId="7F033E76">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w:t>
            </w:r>
            <w:r>
              <w:rPr>
                <w:rFonts w:ascii="宋体" w:hAnsi="宋体" w:cs="宋体"/>
                <w:b w:val="0"/>
                <w:bCs/>
                <w:color w:val="auto"/>
                <w:highlight w:val="none"/>
              </w:rPr>
              <w:t>4</w:t>
            </w:r>
            <w:r>
              <w:rPr>
                <w:rFonts w:hint="eastAsia" w:ascii="宋体" w:hAnsi="宋体" w:cs="宋体"/>
                <w:b w:val="0"/>
                <w:bCs/>
                <w:color w:val="auto"/>
                <w:highlight w:val="none"/>
              </w:rPr>
              <w:t>）资格审查部分</w:t>
            </w:r>
          </w:p>
          <w:p w14:paraId="7F033E77">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应按照第六章规定格式排版，原则上应编制目录，但不得将目录编制作为评审因素。</w:t>
            </w:r>
          </w:p>
          <w:p w14:paraId="7F033E78">
            <w:pPr>
              <w:autoSpaceDE w:val="0"/>
              <w:autoSpaceDN w:val="0"/>
              <w:adjustRightInd w:val="0"/>
              <w:snapToGrid w:val="0"/>
              <w:spacing w:after="72" w:afterLines="30"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注：投标人应按照招标文件要求，在投标文件的对应部分提供相关资料（如在资格审查部分提供招标文件第二章投标人须知前附表第1.4.1项和第3.4款要求提供的资料，在商务部分提供招标文件第三章评标办法前附表中商务评审标准要求提供的资料，在技术部分提供招标文件第三章评标办法前附表中技术评审标准要求提供的资料），否则视为未提供。</w:t>
            </w:r>
          </w:p>
        </w:tc>
      </w:tr>
      <w:tr w14:paraId="7F033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7A">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4.1.1</w:t>
            </w:r>
          </w:p>
        </w:tc>
        <w:tc>
          <w:tcPr>
            <w:tcW w:w="1754" w:type="dxa"/>
            <w:vAlign w:val="center"/>
          </w:tcPr>
          <w:p w14:paraId="7F033E7B">
            <w:pPr>
              <w:snapToGrid w:val="0"/>
              <w:spacing w:line="400" w:lineRule="exact"/>
              <w:jc w:val="center"/>
              <w:rPr>
                <w:rFonts w:hint="eastAsia" w:ascii="宋体" w:hAnsi="宋体" w:cs="宋体"/>
                <w:b w:val="0"/>
                <w:bCs/>
                <w:color w:val="auto"/>
                <w:spacing w:val="-6"/>
                <w:kern w:val="0"/>
                <w:szCs w:val="21"/>
                <w:highlight w:val="none"/>
              </w:rPr>
            </w:pPr>
            <w:r>
              <w:rPr>
                <w:rFonts w:hint="eastAsia" w:ascii="宋体" w:hAnsi="宋体" w:cs="宋体"/>
                <w:b w:val="0"/>
                <w:bCs/>
                <w:color w:val="auto"/>
                <w:spacing w:val="-6"/>
                <w:kern w:val="0"/>
                <w:szCs w:val="21"/>
                <w:highlight w:val="none"/>
              </w:rPr>
              <w:t>投标文件</w:t>
            </w:r>
          </w:p>
          <w:p w14:paraId="7F033E7C">
            <w:pPr>
              <w:snapToGrid w:val="0"/>
              <w:spacing w:line="400" w:lineRule="exact"/>
              <w:jc w:val="center"/>
              <w:rPr>
                <w:rFonts w:hint="eastAsia" w:ascii="宋体" w:hAnsi="宋体" w:cs="宋体"/>
                <w:b w:val="0"/>
                <w:bCs/>
                <w:color w:val="auto"/>
                <w:spacing w:val="-6"/>
                <w:kern w:val="0"/>
                <w:szCs w:val="21"/>
                <w:highlight w:val="none"/>
              </w:rPr>
            </w:pPr>
            <w:r>
              <w:rPr>
                <w:rFonts w:hint="eastAsia" w:ascii="宋体" w:hAnsi="宋体" w:cs="宋体"/>
                <w:b w:val="0"/>
                <w:bCs/>
                <w:color w:val="auto"/>
                <w:spacing w:val="-6"/>
                <w:kern w:val="0"/>
                <w:szCs w:val="21"/>
                <w:highlight w:val="none"/>
              </w:rPr>
              <w:t>的密封</w:t>
            </w:r>
          </w:p>
        </w:tc>
        <w:tc>
          <w:tcPr>
            <w:tcW w:w="6490" w:type="dxa"/>
            <w:vAlign w:val="center"/>
          </w:tcPr>
          <w:p w14:paraId="7F033E7D">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 投标文件袋使用“投标保函部分”袋（如有）、“投标函部分”袋、“经济部分”袋、“技术部分”袋（如有）、“资格审查部分”袋以及“投标文件”大袋。</w:t>
            </w:r>
          </w:p>
          <w:p w14:paraId="7F033E7E">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 投标保函正本</w:t>
            </w:r>
            <w:r>
              <w:rPr>
                <w:rFonts w:hint="eastAsia" w:ascii="宋体" w:hAnsi="宋体" w:cs="宋体"/>
                <w:b w:val="0"/>
                <w:bCs/>
                <w:color w:val="auto"/>
                <w:kern w:val="0"/>
                <w:szCs w:val="21"/>
                <w:highlight w:val="none"/>
              </w:rPr>
              <w:t>复印件装入</w:t>
            </w:r>
            <w:r>
              <w:rPr>
                <w:rFonts w:hint="eastAsia" w:ascii="宋体" w:hAnsi="宋体" w:cs="宋体"/>
                <w:b w:val="0"/>
                <w:bCs/>
                <w:color w:val="auto"/>
                <w:szCs w:val="21"/>
                <w:highlight w:val="none"/>
              </w:rPr>
              <w:t>“投标保函部分”袋，单独封装并在袋上加盖投标人单位法人章，同时应按本表第4.1.2项的规定写明相应内容。</w:t>
            </w:r>
          </w:p>
          <w:p w14:paraId="7F033E7F">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 投标函部分和电子版形式（光盘）装入“投标函部分”袋中，密封并在袋上加盖投标人单位法人章。</w:t>
            </w:r>
          </w:p>
          <w:p w14:paraId="7F033E80">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4. </w:t>
            </w:r>
            <w:r>
              <w:rPr>
                <w:rFonts w:hint="eastAsia" w:ascii="宋体" w:hAnsi="宋体" w:cs="宋体"/>
                <w:b w:val="0"/>
                <w:bCs/>
                <w:color w:val="auto"/>
                <w:spacing w:val="4"/>
                <w:szCs w:val="21"/>
                <w:highlight w:val="none"/>
              </w:rPr>
              <w:t>商务部分装入“商务部分”袋中，密封并在袋上加盖投标人单</w:t>
            </w:r>
            <w:r>
              <w:rPr>
                <w:rFonts w:hint="eastAsia" w:ascii="宋体" w:hAnsi="宋体" w:cs="宋体"/>
                <w:b w:val="0"/>
                <w:bCs/>
                <w:color w:val="auto"/>
                <w:szCs w:val="21"/>
                <w:highlight w:val="none"/>
              </w:rPr>
              <w:t>位法人章。</w:t>
            </w:r>
          </w:p>
          <w:p w14:paraId="7F033E81">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5.本次招标技术部分采用暗标评审，技术部分装入“技术部分”袋中，密封不加盖任何印章。</w:t>
            </w:r>
          </w:p>
          <w:p w14:paraId="7F033E82">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 资格审查部分装入“资格审查部分”袋中，密封并在袋上加盖投标人单位法人章。</w:t>
            </w:r>
          </w:p>
          <w:p w14:paraId="7F033E83">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 “投标函部分”、“商务部分”、“技术部分”（如有）、“资格审查部分”等小袋装入“投标文件”大袋中，密封并在大袋上加盖投标人单位法人章，同时“投标文件”大袋应按本表第4.1.2项的规定写明相应内容。一个大袋装不下的，可使用多个大袋分册封装。大袋未按要求密封的，招标人或代理机构应该拒收。</w:t>
            </w:r>
          </w:p>
          <w:p w14:paraId="7F033E84">
            <w:pPr>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注：“投标函部分”袋、“技术部分”袋（如有）、“商务部分”袋、“资格审查部分”袋只为方便投标文件分装，不作为判定密封合格与否的条件。但为了方便开标，请各投标人主动配合，按要求分装。</w:t>
            </w:r>
          </w:p>
        </w:tc>
      </w:tr>
      <w:tr w14:paraId="7F033E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8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4.1.2</w:t>
            </w:r>
          </w:p>
        </w:tc>
        <w:tc>
          <w:tcPr>
            <w:tcW w:w="1754" w:type="dxa"/>
            <w:vAlign w:val="center"/>
          </w:tcPr>
          <w:p w14:paraId="7F033E8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封套上应载明的信息</w:t>
            </w:r>
          </w:p>
        </w:tc>
        <w:tc>
          <w:tcPr>
            <w:tcW w:w="6490" w:type="dxa"/>
            <w:vAlign w:val="center"/>
          </w:tcPr>
          <w:p w14:paraId="7F033E88">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应在</w:t>
            </w:r>
            <w:r>
              <w:rPr>
                <w:rFonts w:hint="eastAsia" w:ascii="宋体" w:hAnsi="宋体" w:cs="宋体"/>
                <w:b w:val="0"/>
                <w:bCs/>
                <w:color w:val="auto"/>
                <w:szCs w:val="21"/>
                <w:highlight w:val="none"/>
              </w:rPr>
              <w:t xml:space="preserve"> </w:t>
            </w:r>
            <w:r>
              <w:rPr>
                <w:rFonts w:hint="eastAsia" w:ascii="宋体" w:hAnsi="宋体" w:cs="宋体"/>
                <w:b w:val="0"/>
                <w:bCs/>
                <w:color w:val="auto"/>
                <w:kern w:val="0"/>
                <w:szCs w:val="21"/>
                <w:highlight w:val="none"/>
              </w:rPr>
              <w:t>“投标文件”袋封套上载明如下内容：</w:t>
            </w:r>
          </w:p>
          <w:p w14:paraId="7F033E89">
            <w:pPr>
              <w:snapToGrid w:val="0"/>
              <w:spacing w:line="400" w:lineRule="exact"/>
              <w:ind w:firstLine="420" w:firstLineChars="200"/>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招标人名称：</w:t>
            </w:r>
            <w:r>
              <w:rPr>
                <w:rFonts w:hint="eastAsia" w:ascii="宋体" w:hAnsi="宋体" w:cs="宋体"/>
                <w:b w:val="0"/>
                <w:bCs/>
                <w:color w:val="auto"/>
                <w:kern w:val="0"/>
                <w:szCs w:val="21"/>
                <w:highlight w:val="none"/>
                <w:u w:val="single"/>
              </w:rPr>
              <w:t xml:space="preserve">            </w:t>
            </w:r>
          </w:p>
          <w:p w14:paraId="7F033E8A">
            <w:pPr>
              <w:snapToGrid w:val="0"/>
              <w:spacing w:line="400" w:lineRule="exact"/>
              <w:ind w:firstLine="420" w:firstLineChars="200"/>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投标人名称：</w:t>
            </w:r>
            <w:r>
              <w:rPr>
                <w:rFonts w:hint="eastAsia" w:ascii="宋体" w:hAnsi="宋体" w:cs="宋体"/>
                <w:b w:val="0"/>
                <w:bCs/>
                <w:color w:val="auto"/>
                <w:kern w:val="0"/>
                <w:szCs w:val="21"/>
                <w:highlight w:val="none"/>
                <w:u w:val="single"/>
              </w:rPr>
              <w:t xml:space="preserve">            </w:t>
            </w:r>
          </w:p>
          <w:p w14:paraId="7F033E8B">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u w:val="single"/>
              </w:rPr>
              <w:t xml:space="preserve">                （项目名称）</w:t>
            </w:r>
            <w:r>
              <w:rPr>
                <w:rFonts w:hint="eastAsia" w:ascii="宋体" w:hAnsi="宋体" w:cs="宋体"/>
                <w:b w:val="0"/>
                <w:bCs/>
                <w:color w:val="auto"/>
                <w:kern w:val="0"/>
                <w:szCs w:val="21"/>
                <w:highlight w:val="none"/>
              </w:rPr>
              <w:t>投标文件</w:t>
            </w:r>
          </w:p>
          <w:p w14:paraId="7F033E8C">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在</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时</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分前不得开启</w:t>
            </w:r>
          </w:p>
        </w:tc>
      </w:tr>
      <w:tr w14:paraId="7F033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8E">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4.2.1</w:t>
            </w:r>
          </w:p>
        </w:tc>
        <w:tc>
          <w:tcPr>
            <w:tcW w:w="1754" w:type="dxa"/>
            <w:vAlign w:val="center"/>
          </w:tcPr>
          <w:p w14:paraId="7F033E8F">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投标截止时间</w:t>
            </w:r>
          </w:p>
        </w:tc>
        <w:tc>
          <w:tcPr>
            <w:tcW w:w="6490" w:type="dxa"/>
            <w:vAlign w:val="center"/>
          </w:tcPr>
          <w:p w14:paraId="7F033E90">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详见招标公告或投标邀请书中规定的投标截止时间。</w:t>
            </w:r>
          </w:p>
        </w:tc>
      </w:tr>
      <w:tr w14:paraId="7F033E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9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4.2.2</w:t>
            </w:r>
          </w:p>
        </w:tc>
        <w:tc>
          <w:tcPr>
            <w:tcW w:w="1754" w:type="dxa"/>
            <w:vAlign w:val="center"/>
          </w:tcPr>
          <w:p w14:paraId="7F033E9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递交投标文件地点</w:t>
            </w:r>
          </w:p>
        </w:tc>
        <w:tc>
          <w:tcPr>
            <w:tcW w:w="6490" w:type="dxa"/>
            <w:vAlign w:val="center"/>
          </w:tcPr>
          <w:p w14:paraId="7F033E94">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重庆市渝北区普福大道36号西北工业大学重庆科创中心H504</w:t>
            </w:r>
          </w:p>
        </w:tc>
      </w:tr>
      <w:tr w14:paraId="7F033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9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4.2.3</w:t>
            </w:r>
          </w:p>
        </w:tc>
        <w:tc>
          <w:tcPr>
            <w:tcW w:w="1754" w:type="dxa"/>
            <w:vAlign w:val="center"/>
          </w:tcPr>
          <w:p w14:paraId="7F033E9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投标文件是否退还</w:t>
            </w:r>
          </w:p>
        </w:tc>
        <w:tc>
          <w:tcPr>
            <w:tcW w:w="6490" w:type="dxa"/>
            <w:vAlign w:val="center"/>
          </w:tcPr>
          <w:p w14:paraId="7F033E98">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否</w:t>
            </w:r>
          </w:p>
        </w:tc>
      </w:tr>
      <w:tr w14:paraId="7F033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9A">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5.1.1</w:t>
            </w:r>
          </w:p>
        </w:tc>
        <w:tc>
          <w:tcPr>
            <w:tcW w:w="1754" w:type="dxa"/>
            <w:vAlign w:val="center"/>
          </w:tcPr>
          <w:p w14:paraId="7F033E9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开标时间和</w:t>
            </w:r>
          </w:p>
          <w:p w14:paraId="7F033E9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地点</w:t>
            </w:r>
          </w:p>
        </w:tc>
        <w:tc>
          <w:tcPr>
            <w:tcW w:w="6490" w:type="dxa"/>
            <w:vAlign w:val="center"/>
          </w:tcPr>
          <w:p w14:paraId="7F033E9D">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开标时间：同投标截止时间</w:t>
            </w:r>
          </w:p>
          <w:p w14:paraId="7F033E9E">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开标地点：</w:t>
            </w:r>
            <w:r>
              <w:rPr>
                <w:rFonts w:hint="eastAsia" w:ascii="宋体" w:hAnsi="宋体" w:cs="宋体"/>
                <w:b w:val="0"/>
                <w:bCs/>
                <w:color w:val="auto"/>
                <w:szCs w:val="21"/>
                <w:highlight w:val="none"/>
              </w:rPr>
              <w:t>重庆市渝北区普福大道36号西北工业大学重庆科创中心H504</w:t>
            </w:r>
          </w:p>
        </w:tc>
      </w:tr>
      <w:tr w14:paraId="7F033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A0">
            <w:pPr>
              <w:snapToGrid w:val="0"/>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5.2</w:t>
            </w:r>
          </w:p>
        </w:tc>
        <w:tc>
          <w:tcPr>
            <w:tcW w:w="1754" w:type="dxa"/>
            <w:vAlign w:val="center"/>
          </w:tcPr>
          <w:p w14:paraId="7F033EA1">
            <w:pPr>
              <w:snapToGrid w:val="0"/>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开标程序</w:t>
            </w:r>
          </w:p>
        </w:tc>
        <w:tc>
          <w:tcPr>
            <w:tcW w:w="6490" w:type="dxa"/>
            <w:vAlign w:val="center"/>
          </w:tcPr>
          <w:p w14:paraId="7F033EA2">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主持人按下列程序进行开标：</w:t>
            </w:r>
          </w:p>
          <w:p w14:paraId="7F033EA3">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 核验参加开标会议的投标人的法定代表人或委托代理人本人身份证（原件），核验委托代理人的授权委托书，以确认其身份合法有效；若经核实委托代理人提供资料与实际不符的，不得参加开标会。核验合格的法定代表人或委托代理人可自行选择是否参加开标会，不参加开标会的视为默认开标结果。</w:t>
            </w:r>
          </w:p>
          <w:p w14:paraId="7F033EA4">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 宣布开标纪律。</w:t>
            </w:r>
          </w:p>
          <w:p w14:paraId="7F033EA5">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 宣布开标人、唱标人、记录人、监标人等有关人员姓名。</w:t>
            </w:r>
          </w:p>
          <w:p w14:paraId="7F033EA6">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 公布在投标截止时间前递交投标文件的投标人名称。</w:t>
            </w:r>
          </w:p>
          <w:p w14:paraId="7F033EA7">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 投标文件的密封检查：投标人可对自己的投标文件封装情况进行检查，以确认其投标文件密封完好。</w:t>
            </w:r>
          </w:p>
          <w:p w14:paraId="7F033EA8">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 汇总投标保证金交纳情况</w:t>
            </w:r>
          </w:p>
          <w:p w14:paraId="7F033EA9">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 展示以电子转账方式递交投标保证金的保证金交纳情况，应至少包含投标人名称、金额、投标保证金打入指定账户的时间等，异常情况在开标记录表“备注”栏中记录并交由评标委员会评审。保证金来款账户非基本账户的，交由评标委员会作否决投标处理。</w:t>
            </w:r>
          </w:p>
          <w:p w14:paraId="7F033EAA">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 开启投标保函部分袋，现场展示纸质投标保函正本复印件，并记录在“纸质投标保函递交情况一览表”中，异常情况在开标记录表“备注”栏中记录。</w:t>
            </w:r>
          </w:p>
          <w:p w14:paraId="7F033EAB">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6.3打印所有投标人的投标保证金交纳情况，并由招标人代表、监标人、记录人签名确认。</w:t>
            </w:r>
          </w:p>
          <w:p w14:paraId="7F033EAC">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 公布最高限价。</w:t>
            </w:r>
          </w:p>
          <w:p w14:paraId="7F033EA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 逐单位随机开启投标文件。开启投标文件大袋及投标函部分袋、商务部分袋、技术部分袋（如有）、资格审查部分袋；公布投标人名称、投标报价、技术质量要求、交货期及其他内容并记录在案。</w:t>
            </w:r>
          </w:p>
          <w:p w14:paraId="7F033EAE">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 投标人对开标有异议的，应当场提出，由招标人或代理机构当场答复，并记录到开标记录表中。异议处理完毕后，汇总开标情况，打印开标记录表。</w:t>
            </w:r>
          </w:p>
          <w:p w14:paraId="7F033EAF">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10. 投标人代表、招标人代表、监标人、主持人、记录人等有关人员在开标记录上签名确认。因其他原因未能签名的，视为默认开标结果。</w:t>
            </w:r>
          </w:p>
          <w:p w14:paraId="7F033EB0">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纸质投标保函原件与纸质投标保函递交情况一览表、开标记录表一并交由评标委员会评审。</w:t>
            </w:r>
          </w:p>
          <w:p w14:paraId="7F033EB1">
            <w:pPr>
              <w:autoSpaceDE w:val="0"/>
              <w:autoSpaceDN w:val="0"/>
              <w:adjustRightInd w:val="0"/>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 开标结束。</w:t>
            </w:r>
          </w:p>
        </w:tc>
      </w:tr>
      <w:tr w14:paraId="7F033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B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6.1.1</w:t>
            </w:r>
          </w:p>
        </w:tc>
        <w:tc>
          <w:tcPr>
            <w:tcW w:w="1754" w:type="dxa"/>
            <w:vAlign w:val="center"/>
          </w:tcPr>
          <w:p w14:paraId="7F033EB4">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评标委员会的组建</w:t>
            </w:r>
          </w:p>
        </w:tc>
        <w:tc>
          <w:tcPr>
            <w:tcW w:w="6490" w:type="dxa"/>
            <w:vAlign w:val="center"/>
          </w:tcPr>
          <w:p w14:paraId="7F033EB5">
            <w:pPr>
              <w:autoSpaceDE w:val="0"/>
              <w:autoSpaceDN w:val="0"/>
              <w:adjustRightInd w:val="0"/>
              <w:snapToGrid w:val="0"/>
              <w:spacing w:line="400" w:lineRule="exact"/>
              <w:ind w:firstLine="436" w:firstLineChars="200"/>
              <w:rPr>
                <w:rFonts w:hint="eastAsia" w:ascii="宋体" w:hAnsi="宋体" w:cs="宋体"/>
                <w:b w:val="0"/>
                <w:bCs/>
                <w:color w:val="auto"/>
                <w:kern w:val="0"/>
                <w:szCs w:val="21"/>
                <w:highlight w:val="none"/>
              </w:rPr>
            </w:pPr>
            <w:r>
              <w:rPr>
                <w:rFonts w:hint="eastAsia" w:ascii="宋体" w:hAnsi="宋体" w:cs="宋体"/>
                <w:b w:val="0"/>
                <w:bCs/>
                <w:color w:val="auto"/>
                <w:spacing w:val="4"/>
                <w:kern w:val="0"/>
                <w:szCs w:val="21"/>
                <w:highlight w:val="none"/>
              </w:rPr>
              <w:t>由</w:t>
            </w:r>
            <w:r>
              <w:rPr>
                <w:rFonts w:hint="eastAsia" w:ascii="宋体" w:hAnsi="宋体" w:cs="宋体"/>
                <w:b w:val="0"/>
                <w:bCs/>
                <w:color w:val="auto"/>
                <w:spacing w:val="4"/>
                <w:kern w:val="0"/>
                <w:szCs w:val="21"/>
                <w:highlight w:val="none"/>
                <w:lang w:val="en-US" w:eastAsia="zh-CN"/>
              </w:rPr>
              <w:t>招标</w:t>
            </w:r>
            <w:r>
              <w:rPr>
                <w:rFonts w:hint="eastAsia" w:ascii="宋体" w:hAnsi="宋体" w:cs="宋体"/>
                <w:b w:val="0"/>
                <w:bCs/>
                <w:color w:val="auto"/>
                <w:spacing w:val="4"/>
                <w:kern w:val="0"/>
                <w:szCs w:val="21"/>
                <w:highlight w:val="none"/>
              </w:rPr>
              <w:t>人自行组建评标委员会</w:t>
            </w:r>
            <w:r>
              <w:rPr>
                <w:rFonts w:hint="eastAsia" w:ascii="宋体" w:hAnsi="宋体" w:cs="宋体"/>
                <w:b w:val="0"/>
                <w:bCs/>
                <w:color w:val="auto"/>
                <w:kern w:val="0"/>
                <w:szCs w:val="21"/>
                <w:highlight w:val="none"/>
              </w:rPr>
              <w:t>。</w:t>
            </w:r>
          </w:p>
        </w:tc>
      </w:tr>
      <w:tr w14:paraId="7F033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B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6.3.2</w:t>
            </w:r>
          </w:p>
        </w:tc>
        <w:tc>
          <w:tcPr>
            <w:tcW w:w="1754" w:type="dxa"/>
            <w:vAlign w:val="center"/>
          </w:tcPr>
          <w:p w14:paraId="7F033EB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评标委员会推荐中标候选人的人数</w:t>
            </w:r>
          </w:p>
        </w:tc>
        <w:tc>
          <w:tcPr>
            <w:tcW w:w="6490" w:type="dxa"/>
            <w:vAlign w:val="center"/>
          </w:tcPr>
          <w:p w14:paraId="7F033EB9">
            <w:pPr>
              <w:autoSpaceDE w:val="0"/>
              <w:autoSpaceDN w:val="0"/>
              <w:adjustRightInd w:val="0"/>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推荐经评审综合得分由高到低排名前</w:t>
            </w:r>
            <w:r>
              <w:rPr>
                <w:rFonts w:ascii="宋体" w:hAnsi="宋体" w:cs="宋体"/>
                <w:b w:val="0"/>
                <w:bCs/>
                <w:color w:val="auto"/>
                <w:highlight w:val="none"/>
                <w:u w:val="single"/>
              </w:rPr>
              <w:t xml:space="preserve"> 3 </w:t>
            </w:r>
            <w:r>
              <w:rPr>
                <w:rFonts w:hint="eastAsia" w:ascii="宋体" w:hAnsi="宋体" w:cs="宋体"/>
                <w:b w:val="0"/>
                <w:bCs/>
                <w:color w:val="auto"/>
                <w:highlight w:val="none"/>
              </w:rPr>
              <w:t>名为中标候选人，若有效投标人少于</w:t>
            </w:r>
            <w:r>
              <w:rPr>
                <w:rFonts w:ascii="宋体" w:hAnsi="宋体" w:cs="宋体"/>
                <w:b w:val="0"/>
                <w:bCs/>
                <w:color w:val="auto"/>
                <w:highlight w:val="none"/>
                <w:u w:val="single"/>
              </w:rPr>
              <w:t xml:space="preserve"> 3 </w:t>
            </w:r>
            <w:r>
              <w:rPr>
                <w:rFonts w:hint="eastAsia" w:ascii="宋体" w:hAnsi="宋体" w:cs="宋体"/>
                <w:b w:val="0"/>
                <w:bCs/>
                <w:color w:val="auto"/>
                <w:highlight w:val="none"/>
              </w:rPr>
              <w:t>个的则按实际数量推荐。</w:t>
            </w:r>
          </w:p>
        </w:tc>
      </w:tr>
      <w:tr w14:paraId="7F033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restart"/>
            <w:vAlign w:val="center"/>
          </w:tcPr>
          <w:p w14:paraId="7F033EBB">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7.1</w:t>
            </w:r>
          </w:p>
        </w:tc>
        <w:tc>
          <w:tcPr>
            <w:tcW w:w="1754" w:type="dxa"/>
            <w:vAlign w:val="center"/>
          </w:tcPr>
          <w:p w14:paraId="7F033EBC">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中标候选人公示</w:t>
            </w:r>
          </w:p>
        </w:tc>
        <w:tc>
          <w:tcPr>
            <w:tcW w:w="6490" w:type="dxa"/>
            <w:vAlign w:val="center"/>
          </w:tcPr>
          <w:p w14:paraId="7F033EBD">
            <w:pPr>
              <w:autoSpaceDE w:val="0"/>
              <w:autoSpaceDN w:val="0"/>
              <w:adjustRightInd w:val="0"/>
              <w:snapToGrid w:val="0"/>
              <w:spacing w:line="400" w:lineRule="exact"/>
              <w:ind w:firstLine="436" w:firstLineChars="200"/>
              <w:rPr>
                <w:rFonts w:hint="eastAsia" w:ascii="宋体" w:hAnsi="宋体" w:cs="宋体"/>
                <w:b w:val="0"/>
                <w:bCs/>
                <w:color w:val="auto"/>
                <w:spacing w:val="4"/>
                <w:kern w:val="0"/>
                <w:szCs w:val="21"/>
                <w:highlight w:val="none"/>
              </w:rPr>
            </w:pPr>
            <w:r>
              <w:rPr>
                <w:rFonts w:hint="eastAsia" w:ascii="宋体" w:hAnsi="宋体" w:cs="宋体"/>
                <w:b w:val="0"/>
                <w:bCs/>
                <w:color w:val="auto"/>
                <w:spacing w:val="4"/>
                <w:kern w:val="0"/>
                <w:szCs w:val="21"/>
                <w:highlight w:val="none"/>
              </w:rPr>
              <w:t>招标人在收到评标报告后3日内将评标结果在</w:t>
            </w:r>
            <w:r>
              <w:rPr>
                <w:rFonts w:hint="eastAsia" w:ascii="宋体" w:hAnsi="宋体" w:cs="宋体"/>
                <w:b w:val="0"/>
                <w:bCs/>
                <w:snapToGrid w:val="0"/>
                <w:color w:val="auto"/>
                <w:kern w:val="0"/>
                <w:szCs w:val="21"/>
                <w:highlight w:val="none"/>
                <w:u w:val="single"/>
              </w:rPr>
              <w:t>重庆三航新材料技术研究院有限公司官网（http://www.cqsamr.com/material）</w:t>
            </w:r>
            <w:r>
              <w:rPr>
                <w:rFonts w:hint="eastAsia" w:ascii="宋体" w:hAnsi="宋体" w:cs="宋体"/>
                <w:b w:val="0"/>
                <w:bCs/>
                <w:color w:val="auto"/>
                <w:spacing w:val="4"/>
                <w:kern w:val="0"/>
                <w:szCs w:val="21"/>
                <w:highlight w:val="none"/>
              </w:rPr>
              <w:t>上进行公示，公示期不少于3日。为深化信息公开，接受社会监督，按照《招标公告和公示信息发布管理办法》（国家发改委令第10号）的要求，公示内容包括中标候选人名称、排序、投标报价、交货期；中标候选人资质（如有）、投标业绩名称（如有）；否决投标情况及理由；</w:t>
            </w:r>
            <w:r>
              <w:rPr>
                <w:rFonts w:hint="eastAsia" w:ascii="宋体" w:hAnsi="宋体" w:cs="宋体"/>
                <w:b w:val="0"/>
                <w:bCs/>
                <w:color w:val="auto"/>
                <w:szCs w:val="21"/>
                <w:highlight w:val="none"/>
              </w:rPr>
              <w:t>投标人撤销投标文件或者部分投标被否决导致有效投标人不足三个的竞争性论证结果（如有）；</w:t>
            </w:r>
            <w:r>
              <w:rPr>
                <w:rFonts w:hint="eastAsia" w:ascii="宋体" w:hAnsi="宋体" w:cs="宋体"/>
                <w:b w:val="0"/>
                <w:bCs/>
                <w:color w:val="auto"/>
                <w:spacing w:val="4"/>
                <w:kern w:val="0"/>
                <w:szCs w:val="21"/>
                <w:highlight w:val="none"/>
              </w:rPr>
              <w:t>提出异议、投诉的渠道和方式。</w:t>
            </w:r>
          </w:p>
        </w:tc>
      </w:tr>
      <w:tr w14:paraId="7F033E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Merge w:val="continue"/>
            <w:vAlign w:val="center"/>
          </w:tcPr>
          <w:p w14:paraId="7F033EBF">
            <w:pPr>
              <w:snapToGrid w:val="0"/>
              <w:spacing w:line="400" w:lineRule="exact"/>
              <w:jc w:val="center"/>
              <w:rPr>
                <w:rFonts w:hint="eastAsia" w:ascii="宋体" w:hAnsi="宋体" w:cs="宋体"/>
                <w:b w:val="0"/>
                <w:bCs/>
                <w:color w:val="auto"/>
                <w:kern w:val="0"/>
                <w:szCs w:val="21"/>
                <w:highlight w:val="none"/>
              </w:rPr>
            </w:pPr>
          </w:p>
        </w:tc>
        <w:tc>
          <w:tcPr>
            <w:tcW w:w="1754" w:type="dxa"/>
            <w:vAlign w:val="center"/>
          </w:tcPr>
          <w:p w14:paraId="7F033EC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中标结果公告</w:t>
            </w:r>
          </w:p>
        </w:tc>
        <w:tc>
          <w:tcPr>
            <w:tcW w:w="6490" w:type="dxa"/>
            <w:vAlign w:val="center"/>
          </w:tcPr>
          <w:p w14:paraId="7F033EC1">
            <w:pPr>
              <w:autoSpaceDE w:val="0"/>
              <w:autoSpaceDN w:val="0"/>
              <w:adjustRightInd w:val="0"/>
              <w:snapToGrid w:val="0"/>
              <w:spacing w:line="400" w:lineRule="exact"/>
              <w:ind w:firstLine="420" w:firstLineChars="200"/>
              <w:rPr>
                <w:rFonts w:hint="eastAsia" w:ascii="宋体" w:hAnsi="宋体" w:cs="宋体"/>
                <w:b w:val="0"/>
                <w:bCs/>
                <w:color w:val="auto"/>
                <w:spacing w:val="4"/>
                <w:kern w:val="0"/>
                <w:szCs w:val="21"/>
                <w:highlight w:val="none"/>
              </w:rPr>
            </w:pPr>
            <w:r>
              <w:rPr>
                <w:rFonts w:hint="eastAsia" w:ascii="宋体" w:hAnsi="宋体" w:cs="宋体"/>
                <w:b w:val="0"/>
                <w:bCs/>
                <w:color w:val="auto"/>
                <w:szCs w:val="21"/>
                <w:highlight w:val="none"/>
              </w:rPr>
              <w:t>招标人自中标通知书发出之日起三日内，在招标公告发布媒介上公告招标人及法定代表人名称，招标代理机构及法定代表人名称，中标人及法定代表人名称、中标价格等中标结果，评标委员会组建方式、成员名单、评标意见等信息。</w:t>
            </w:r>
          </w:p>
        </w:tc>
      </w:tr>
      <w:tr w14:paraId="7F033E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C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7.4</w:t>
            </w:r>
          </w:p>
        </w:tc>
        <w:tc>
          <w:tcPr>
            <w:tcW w:w="1754" w:type="dxa"/>
            <w:vAlign w:val="center"/>
          </w:tcPr>
          <w:p w14:paraId="7F033EC4">
            <w:pPr>
              <w:snapToGrid w:val="0"/>
              <w:spacing w:after="48" w:afterLines="20"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是否授权评标委员会确定中标人</w:t>
            </w:r>
          </w:p>
        </w:tc>
        <w:tc>
          <w:tcPr>
            <w:tcW w:w="6490" w:type="dxa"/>
            <w:vAlign w:val="center"/>
          </w:tcPr>
          <w:p w14:paraId="7F033EC5">
            <w:pPr>
              <w:snapToGrid w:val="0"/>
              <w:spacing w:line="400" w:lineRule="exact"/>
              <w:ind w:firstLine="420" w:firstLineChars="200"/>
              <w:rPr>
                <w:rFonts w:hint="eastAsia" w:ascii="宋体" w:hAnsi="宋体" w:cs="宋体"/>
                <w:b w:val="0"/>
                <w:bCs/>
                <w:i/>
                <w:color w:val="auto"/>
                <w:kern w:val="0"/>
                <w:szCs w:val="21"/>
                <w:highlight w:val="none"/>
              </w:rPr>
            </w:pPr>
            <w:r>
              <w:rPr>
                <w:rFonts w:hint="eastAsia" w:ascii="宋体" w:hAnsi="宋体" w:cs="宋体"/>
                <w:b w:val="0"/>
                <w:bCs/>
                <w:color w:val="auto"/>
                <w:kern w:val="0"/>
                <w:szCs w:val="21"/>
                <w:highlight w:val="none"/>
              </w:rPr>
              <w:t>否</w:t>
            </w:r>
          </w:p>
        </w:tc>
      </w:tr>
      <w:tr w14:paraId="7F033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C7">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7.6.1</w:t>
            </w:r>
          </w:p>
        </w:tc>
        <w:tc>
          <w:tcPr>
            <w:tcW w:w="1754" w:type="dxa"/>
            <w:vAlign w:val="center"/>
          </w:tcPr>
          <w:p w14:paraId="7F033EC8">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履约保证金</w:t>
            </w:r>
          </w:p>
        </w:tc>
        <w:tc>
          <w:tcPr>
            <w:tcW w:w="6490" w:type="dxa"/>
            <w:vAlign w:val="center"/>
          </w:tcPr>
          <w:p w14:paraId="7F033EC9">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1、中标人是否提供履约保证金：</w:t>
            </w:r>
            <w:r>
              <w:rPr>
                <w:rFonts w:hint="eastAsia" w:ascii="宋体" w:hAnsi="宋体" w:cs="宋体"/>
                <w:b w:val="0"/>
                <w:bCs/>
                <w:color w:val="auto"/>
                <w:kern w:val="0"/>
                <w:szCs w:val="21"/>
                <w:highlight w:val="none"/>
                <w:u w:val="single"/>
              </w:rPr>
              <w:t>提供</w:t>
            </w:r>
            <w:r>
              <w:rPr>
                <w:rFonts w:hint="eastAsia" w:ascii="宋体" w:hAnsi="宋体" w:cs="宋体"/>
                <w:b w:val="0"/>
                <w:bCs/>
                <w:color w:val="auto"/>
                <w:kern w:val="0"/>
                <w:szCs w:val="21"/>
                <w:highlight w:val="none"/>
              </w:rPr>
              <w:t>。</w:t>
            </w:r>
          </w:p>
          <w:p w14:paraId="7F033ECA">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2、中标人提供履约保证金的形式、金额及期限：</w:t>
            </w:r>
          </w:p>
          <w:p w14:paraId="7F033ECB">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履约保证金的形式：现金或履约保函或现金+履约保函的组合，履约保函包括银行保函、保证保险和担保保函，其示范文本详见第四章合同条款及格式附件。中标人提交的履约保函应严格执行其示范文本，不得对示范文本中的实质性内容进行修改。</w:t>
            </w:r>
          </w:p>
          <w:p w14:paraId="7F033ECC">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具体要求：履约保函的开立人应当是具有相应资格的银行、保险机构、融资担保公司，其信用资质、履约能力、担保能力、赔付流程、安全保密等应符合履约保函业务条件。履约保函应合法合规，符合招投标行政监督部门、行业主管部门和金融监管部门的相关规定，满足招标文件约定要求。中标人应选择在渝依法设立总部或者设有分支机构的金融机构开具履约保函（包括纸质保函或电子保函）。履约保函为纸质保函的，纸质保函应注明在重庆市辖区范围内的核验地址和核验方式，并确保该纸质保函能在开立人在渝的总部或者分支机构进行核验。中标人对所提交的履约保函的真实性、合法性、有效性负责。</w:t>
            </w:r>
          </w:p>
          <w:p w14:paraId="7F033ECD">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（3）履约保证金的金额：</w:t>
            </w:r>
            <w:r>
              <w:rPr>
                <w:rFonts w:hint="eastAsia" w:ascii="宋体" w:hAnsi="宋体" w:cs="宋体"/>
                <w:b w:val="0"/>
                <w:bCs/>
                <w:color w:val="auto"/>
                <w:kern w:val="0"/>
                <w:szCs w:val="21"/>
                <w:highlight w:val="none"/>
                <w:u w:val="single"/>
              </w:rPr>
              <w:t>中标合同金额的10%</w:t>
            </w:r>
            <w:r>
              <w:rPr>
                <w:rFonts w:hint="eastAsia" w:ascii="宋体" w:hAnsi="宋体" w:cs="宋体"/>
                <w:b w:val="0"/>
                <w:bCs/>
                <w:color w:val="auto"/>
                <w:kern w:val="0"/>
                <w:szCs w:val="21"/>
                <w:highlight w:val="none"/>
              </w:rPr>
              <w:t>。</w:t>
            </w:r>
          </w:p>
          <w:p w14:paraId="7F033ECE">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（4）履约保证金的提交时间：见专用合同条款。</w:t>
            </w:r>
          </w:p>
          <w:p w14:paraId="7F033ECF">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（5）履约保证金的期限：见专用合同条款。</w:t>
            </w:r>
          </w:p>
          <w:p w14:paraId="7F033ED0">
            <w:pPr>
              <w:snapToGrid w:val="0"/>
              <w:spacing w:after="48" w:afterLines="20"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（6）履约保证金的退还时间：见专用合同条款。</w:t>
            </w:r>
          </w:p>
        </w:tc>
      </w:tr>
      <w:tr w14:paraId="7F033E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D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8.1</w:t>
            </w:r>
          </w:p>
        </w:tc>
        <w:tc>
          <w:tcPr>
            <w:tcW w:w="1754" w:type="dxa"/>
            <w:vAlign w:val="center"/>
          </w:tcPr>
          <w:p w14:paraId="7F033ED3">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重新招标的情形</w:t>
            </w:r>
          </w:p>
        </w:tc>
        <w:tc>
          <w:tcPr>
            <w:tcW w:w="6490" w:type="dxa"/>
            <w:vAlign w:val="center"/>
          </w:tcPr>
          <w:p w14:paraId="7F033ED4">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（1）投标截止时间止，投标人少于 3 个的（本款只适用于首次招标）；</w:t>
            </w:r>
          </w:p>
          <w:p w14:paraId="7F033ED5">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（2）经评标委员会评审后否决所有投标的；</w:t>
            </w:r>
          </w:p>
          <w:p w14:paraId="7F033ED6">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（3）经评标委员会评审后部分投标被否决，因有效投标人不足三个使得投标明显缺乏竞争的（本款只适用于首次招标）；</w:t>
            </w:r>
          </w:p>
          <w:p w14:paraId="7F033ED7">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（4）法律法规规定的其他情形。</w:t>
            </w:r>
          </w:p>
        </w:tc>
      </w:tr>
      <w:tr w14:paraId="7F033E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D9">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8.2</w:t>
            </w:r>
          </w:p>
        </w:tc>
        <w:tc>
          <w:tcPr>
            <w:tcW w:w="1754" w:type="dxa"/>
            <w:vAlign w:val="center"/>
          </w:tcPr>
          <w:p w14:paraId="7F033EDA">
            <w:pPr>
              <w:snapToGrid w:val="0"/>
              <w:spacing w:line="400" w:lineRule="exact"/>
              <w:jc w:val="center"/>
              <w:rPr>
                <w:rFonts w:ascii="宋体" w:hAnsi="宋体" w:cs="宋体"/>
                <w:b w:val="0"/>
                <w:bCs/>
                <w:color w:val="auto"/>
                <w:highlight w:val="none"/>
              </w:rPr>
            </w:pPr>
            <w:bookmarkStart w:id="93" w:name="_Toc509218709"/>
            <w:bookmarkStart w:id="94" w:name="_Toc536628250"/>
            <w:bookmarkStart w:id="95" w:name="_Toc430530434"/>
            <w:bookmarkStart w:id="96" w:name="_Toc13210670"/>
            <w:bookmarkStart w:id="97" w:name="_Toc16930431"/>
            <w:r>
              <w:rPr>
                <w:rFonts w:hint="eastAsia" w:ascii="宋体" w:hAnsi="宋体" w:cs="宋体"/>
                <w:b w:val="0"/>
                <w:bCs/>
                <w:color w:val="auto"/>
                <w:kern w:val="0"/>
                <w:szCs w:val="21"/>
                <w:highlight w:val="none"/>
              </w:rPr>
              <w:t>重新招标和不再招标</w:t>
            </w:r>
            <w:bookmarkEnd w:id="93"/>
            <w:bookmarkEnd w:id="94"/>
            <w:bookmarkEnd w:id="95"/>
            <w:bookmarkEnd w:id="96"/>
            <w:bookmarkEnd w:id="97"/>
          </w:p>
        </w:tc>
        <w:tc>
          <w:tcPr>
            <w:tcW w:w="6490" w:type="dxa"/>
            <w:vAlign w:val="center"/>
          </w:tcPr>
          <w:p w14:paraId="7F033EDB">
            <w:pPr>
              <w:autoSpaceDE w:val="0"/>
              <w:autoSpaceDN w:val="0"/>
              <w:adjustRightInd w:val="0"/>
              <w:snapToGrid w:val="0"/>
              <w:spacing w:after="48" w:afterLines="20"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p>
        </w:tc>
      </w:tr>
      <w:tr w14:paraId="7F033E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DD">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10</w:t>
            </w:r>
          </w:p>
        </w:tc>
        <w:tc>
          <w:tcPr>
            <w:tcW w:w="8244" w:type="dxa"/>
            <w:gridSpan w:val="2"/>
            <w:vAlign w:val="center"/>
          </w:tcPr>
          <w:p w14:paraId="7F033EDE">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需要补充的其他内容</w:t>
            </w:r>
          </w:p>
        </w:tc>
      </w:tr>
      <w:tr w14:paraId="7F033E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E0">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10.1</w:t>
            </w:r>
          </w:p>
        </w:tc>
        <w:tc>
          <w:tcPr>
            <w:tcW w:w="1754" w:type="dxa"/>
            <w:vAlign w:val="center"/>
          </w:tcPr>
          <w:p w14:paraId="7F033EE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异议、投诉处理</w:t>
            </w:r>
          </w:p>
        </w:tc>
        <w:tc>
          <w:tcPr>
            <w:tcW w:w="6490" w:type="dxa"/>
            <w:vAlign w:val="center"/>
          </w:tcPr>
          <w:p w14:paraId="7F033EE2">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 投标人或者其他利害关系人就本项目的招标文件（含澄清修改）、开标情况、评标结果等事项提出投诉的，应当先向招标人提出异议；招标人应当在规定时间内答复；对招标人的答复不满意，可向行政监督部门投诉。</w:t>
            </w:r>
          </w:p>
          <w:p w14:paraId="7F033EE3">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提出异议或投诉时应当包括下列内容：</w:t>
            </w:r>
          </w:p>
          <w:p w14:paraId="7F033EE4">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（1）异议人或投诉人的姓名/名称、地址及有效联系方式；</w:t>
            </w:r>
          </w:p>
          <w:p w14:paraId="7F033EE5">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（2）被异议人或被投诉人的名称、地址及有效联系方式；</w:t>
            </w:r>
          </w:p>
          <w:p w14:paraId="7F033EE6">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（3）异议或投诉事项的基本事实；</w:t>
            </w:r>
          </w:p>
          <w:p w14:paraId="7F033EE7">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（4）请求及主张；</w:t>
            </w:r>
          </w:p>
          <w:p w14:paraId="7F033EE8">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（5）涉及事项的证据、证明材料。</w:t>
            </w:r>
          </w:p>
          <w:p w14:paraId="7F033EE9">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7F033EEA">
            <w:pPr>
              <w:widowControl/>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 行政监督部门依照相关法律法规文件处理投诉。</w:t>
            </w:r>
          </w:p>
          <w:p w14:paraId="7F033EEB">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 投标人不得捏造事实、伪造材料，或者以非法手段获取证明材料进行异议或者投诉；给他人造成损失的，依法承担赔偿责任。</w:t>
            </w:r>
          </w:p>
          <w:p w14:paraId="7F033EEC">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w:t>
            </w:r>
            <w:r>
              <w:rPr>
                <w:rFonts w:ascii="宋体" w:hAnsi="宋体" w:cs="宋体"/>
                <w:b w:val="0"/>
                <w:bCs/>
                <w:color w:val="auto"/>
                <w:highlight w:val="none"/>
              </w:rPr>
              <w:t xml:space="preserve"> </w:t>
            </w:r>
            <w:r>
              <w:rPr>
                <w:rFonts w:hint="eastAsia" w:ascii="宋体" w:hAnsi="宋体" w:cs="宋体"/>
                <w:b w:val="0"/>
                <w:bCs/>
                <w:color w:val="auto"/>
                <w:kern w:val="0"/>
                <w:szCs w:val="21"/>
                <w:highlight w:val="none"/>
              </w:rPr>
              <w:t>异议受理单位：</w:t>
            </w:r>
            <w:r>
              <w:rPr>
                <w:rFonts w:hint="eastAsia" w:ascii="宋体" w:hAnsi="宋体" w:cs="宋体"/>
                <w:b w:val="0"/>
                <w:bCs/>
                <w:color w:val="auto"/>
                <w:kern w:val="0"/>
                <w:szCs w:val="21"/>
                <w:highlight w:val="none"/>
                <w:u w:val="single"/>
              </w:rPr>
              <w:t xml:space="preserve">  重庆三航新材料技术研究院有限公司   </w:t>
            </w:r>
          </w:p>
          <w:p w14:paraId="7F033EED">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联系电话：</w:t>
            </w:r>
            <w:r>
              <w:rPr>
                <w:rFonts w:hint="eastAsia" w:ascii="宋体" w:hAnsi="宋体" w:cs="宋体"/>
                <w:b w:val="0"/>
                <w:bCs/>
                <w:color w:val="auto"/>
                <w:kern w:val="0"/>
                <w:szCs w:val="21"/>
                <w:highlight w:val="none"/>
                <w:u w:val="single"/>
              </w:rPr>
              <w:t xml:space="preserve"> 023-81030309        </w:t>
            </w:r>
          </w:p>
          <w:p w14:paraId="7F033EEE">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投诉受理部门：</w:t>
            </w:r>
            <w:r>
              <w:rPr>
                <w:rFonts w:hint="eastAsia" w:ascii="宋体" w:hAnsi="宋体" w:cs="宋体"/>
                <w:b w:val="0"/>
                <w:bCs/>
                <w:color w:val="auto"/>
                <w:kern w:val="0"/>
                <w:szCs w:val="21"/>
                <w:highlight w:val="none"/>
                <w:u w:val="single"/>
              </w:rPr>
              <w:t xml:space="preserve"> 供应链管理部    </w:t>
            </w:r>
          </w:p>
          <w:p w14:paraId="7F033EEF">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联系电话：</w:t>
            </w:r>
            <w:r>
              <w:rPr>
                <w:rFonts w:hint="eastAsia" w:ascii="宋体" w:hAnsi="宋体" w:cs="宋体"/>
                <w:b w:val="0"/>
                <w:bCs/>
                <w:color w:val="auto"/>
                <w:kern w:val="0"/>
                <w:szCs w:val="21"/>
                <w:highlight w:val="none"/>
                <w:u w:val="single"/>
              </w:rPr>
              <w:t xml:space="preserve">     15285106230     </w:t>
            </w:r>
          </w:p>
        </w:tc>
      </w:tr>
      <w:tr w14:paraId="7F033E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F1">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10.2</w:t>
            </w:r>
          </w:p>
        </w:tc>
        <w:tc>
          <w:tcPr>
            <w:tcW w:w="1754" w:type="dxa"/>
            <w:vAlign w:val="center"/>
          </w:tcPr>
          <w:p w14:paraId="7F033EF2">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关于对招标文件及投标争议的解释</w:t>
            </w:r>
          </w:p>
        </w:tc>
        <w:tc>
          <w:tcPr>
            <w:tcW w:w="6490" w:type="dxa"/>
            <w:vAlign w:val="center"/>
          </w:tcPr>
          <w:p w14:paraId="7F033EF3">
            <w:pPr>
              <w:autoSpaceDE w:val="0"/>
              <w:autoSpaceDN w:val="0"/>
              <w:adjustRightInd w:val="0"/>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对资格预审文件或者招标文件中的条款理解有争议的，应当作出不利于招标人的解释；对投标文件理解有争议的，应当作出不利于投标人的解释。但是，违背国家利益、社会公共利益的除外。</w:t>
            </w:r>
          </w:p>
        </w:tc>
      </w:tr>
      <w:tr w14:paraId="7F033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F033EF5">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10.3</w:t>
            </w:r>
          </w:p>
        </w:tc>
        <w:tc>
          <w:tcPr>
            <w:tcW w:w="1754" w:type="dxa"/>
            <w:vAlign w:val="center"/>
          </w:tcPr>
          <w:p w14:paraId="7F033EF6">
            <w:pPr>
              <w:snapToGrid w:val="0"/>
              <w:spacing w:line="400" w:lineRule="exact"/>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其他</w:t>
            </w:r>
          </w:p>
        </w:tc>
        <w:tc>
          <w:tcPr>
            <w:tcW w:w="6490" w:type="dxa"/>
            <w:vAlign w:val="center"/>
          </w:tcPr>
          <w:p w14:paraId="334AB64C">
            <w:pPr>
              <w:keepNext w:val="0"/>
              <w:keepLines w:val="0"/>
              <w:pageBreakBefore w:val="0"/>
              <w:widowControl/>
              <w:kinsoku/>
              <w:wordWrap/>
              <w:overflowPunct/>
              <w:topLinePunct w:val="0"/>
              <w:bidi w:val="0"/>
              <w:spacing w:afterLines="0" w:line="400" w:lineRule="exact"/>
              <w:ind w:firstLine="420" w:firstLineChars="200"/>
              <w:textAlignment w:val="auto"/>
              <w:rPr>
                <w:rFonts w:hint="eastAsia" w:ascii="宋体" w:hAnsi="宋体"/>
                <w:b w:val="0"/>
                <w:bCs/>
                <w:color w:val="auto"/>
                <w:kern w:val="0"/>
                <w:szCs w:val="21"/>
                <w:highlight w:val="none"/>
              </w:rPr>
            </w:pPr>
            <w:r>
              <w:rPr>
                <w:rFonts w:hint="eastAsia" w:ascii="宋体" w:hAnsi="宋体"/>
                <w:b w:val="0"/>
                <w:bCs/>
                <w:color w:val="auto"/>
                <w:kern w:val="0"/>
                <w:szCs w:val="21"/>
                <w:highlight w:val="none"/>
              </w:rPr>
              <w:t>1.</w:t>
            </w:r>
            <w:r>
              <w:rPr>
                <w:rFonts w:hint="eastAsia" w:ascii="宋体" w:hAnsi="宋体"/>
                <w:b w:val="0"/>
                <w:bCs/>
                <w:color w:val="auto"/>
                <w:kern w:val="0"/>
                <w:szCs w:val="21"/>
                <w:highlight w:val="none"/>
                <w:lang w:val="en-US" w:eastAsia="zh-CN"/>
              </w:rPr>
              <w:t>各标段的招标</w:t>
            </w:r>
            <w:r>
              <w:rPr>
                <w:rFonts w:hint="eastAsia" w:ascii="宋体" w:hAnsi="宋体"/>
                <w:b w:val="0"/>
                <w:bCs/>
                <w:color w:val="auto"/>
                <w:kern w:val="0"/>
                <w:szCs w:val="21"/>
                <w:highlight w:val="none"/>
              </w:rPr>
              <w:t>文件</w:t>
            </w:r>
            <w:r>
              <w:rPr>
                <w:rFonts w:hint="eastAsia" w:ascii="宋体" w:hAnsi="宋体"/>
                <w:b w:val="0"/>
                <w:bCs/>
                <w:color w:val="auto"/>
                <w:kern w:val="0"/>
                <w:szCs w:val="21"/>
                <w:highlight w:val="none"/>
                <w:lang w:val="en-US" w:eastAsia="zh-CN"/>
              </w:rPr>
              <w:t>费</w:t>
            </w:r>
            <w:r>
              <w:rPr>
                <w:rFonts w:hint="eastAsia" w:ascii="宋体" w:hAnsi="宋体"/>
                <w:b w:val="0"/>
                <w:bCs/>
                <w:color w:val="auto"/>
                <w:kern w:val="0"/>
                <w:szCs w:val="21"/>
                <w:highlight w:val="none"/>
              </w:rPr>
              <w:t>售价</w:t>
            </w:r>
            <w:r>
              <w:rPr>
                <w:rFonts w:hint="eastAsia" w:ascii="宋体" w:hAnsi="宋体"/>
                <w:b w:val="0"/>
                <w:bCs/>
                <w:color w:val="auto"/>
                <w:kern w:val="0"/>
                <w:szCs w:val="21"/>
                <w:highlight w:val="none"/>
                <w:lang w:val="en-US" w:eastAsia="zh-CN"/>
              </w:rPr>
              <w:t>3</w:t>
            </w:r>
            <w:r>
              <w:rPr>
                <w:rFonts w:hint="eastAsia" w:ascii="宋体" w:hAnsi="宋体"/>
                <w:b w:val="0"/>
                <w:bCs/>
                <w:color w:val="auto"/>
                <w:kern w:val="0"/>
                <w:szCs w:val="21"/>
                <w:highlight w:val="none"/>
              </w:rPr>
              <w:t>00元/份，</w:t>
            </w:r>
            <w:r>
              <w:rPr>
                <w:rFonts w:hint="eastAsia" w:ascii="宋体" w:hAnsi="宋体"/>
                <w:b w:val="0"/>
                <w:bCs/>
                <w:color w:val="auto"/>
                <w:kern w:val="0"/>
                <w:szCs w:val="21"/>
                <w:highlight w:val="none"/>
                <w:lang w:val="en-US" w:eastAsia="zh-CN"/>
              </w:rPr>
              <w:t>投标人在</w:t>
            </w:r>
            <w:r>
              <w:rPr>
                <w:rFonts w:hint="eastAsia" w:ascii="宋体" w:hAnsi="宋体"/>
                <w:b w:val="0"/>
                <w:bCs/>
                <w:color w:val="auto"/>
                <w:kern w:val="0"/>
                <w:szCs w:val="21"/>
                <w:highlight w:val="none"/>
              </w:rPr>
              <w:t>递交</w:t>
            </w:r>
            <w:r>
              <w:rPr>
                <w:rFonts w:hint="eastAsia" w:ascii="宋体" w:hAnsi="宋体"/>
                <w:b w:val="0"/>
                <w:bCs/>
                <w:color w:val="auto"/>
                <w:kern w:val="0"/>
                <w:szCs w:val="21"/>
                <w:highlight w:val="none"/>
                <w:lang w:val="en-US" w:eastAsia="zh-CN"/>
              </w:rPr>
              <w:t>投标</w:t>
            </w:r>
            <w:r>
              <w:rPr>
                <w:rFonts w:hint="eastAsia" w:ascii="宋体" w:hAnsi="宋体"/>
                <w:b w:val="0"/>
                <w:bCs/>
                <w:color w:val="auto"/>
                <w:kern w:val="0"/>
                <w:szCs w:val="21"/>
                <w:highlight w:val="none"/>
              </w:rPr>
              <w:t>文件时缴纳，除招标项目取消、终止等招标人</w:t>
            </w:r>
            <w:r>
              <w:rPr>
                <w:rFonts w:hint="eastAsia" w:ascii="宋体" w:hAnsi="宋体"/>
                <w:b w:val="0"/>
                <w:bCs/>
                <w:color w:val="auto"/>
                <w:kern w:val="0"/>
                <w:szCs w:val="21"/>
                <w:highlight w:val="none"/>
                <w:lang w:val="en-US" w:eastAsia="zh-CN"/>
              </w:rPr>
              <w:t>或招标代理机构</w:t>
            </w:r>
            <w:r>
              <w:rPr>
                <w:rFonts w:hint="eastAsia" w:ascii="宋体" w:hAnsi="宋体"/>
                <w:b w:val="0"/>
                <w:bCs/>
                <w:color w:val="auto"/>
                <w:kern w:val="0"/>
                <w:szCs w:val="21"/>
                <w:highlight w:val="none"/>
              </w:rPr>
              <w:t>原因外，招标文件费用不予退还</w:t>
            </w:r>
            <w:r>
              <w:rPr>
                <w:rFonts w:hint="eastAsia" w:ascii="宋体" w:hAnsi="宋体"/>
                <w:b w:val="0"/>
                <w:bCs/>
                <w:color w:val="auto"/>
                <w:kern w:val="0"/>
                <w:szCs w:val="21"/>
                <w:highlight w:val="none"/>
                <w:lang w:eastAsia="zh-CN"/>
              </w:rPr>
              <w:t>，</w:t>
            </w:r>
            <w:r>
              <w:rPr>
                <w:rFonts w:hint="eastAsia" w:ascii="宋体" w:hAnsi="宋体" w:cs="宋体"/>
                <w:b w:val="0"/>
                <w:bCs/>
                <w:snapToGrid w:val="0"/>
                <w:color w:val="auto"/>
                <w:kern w:val="0"/>
                <w:szCs w:val="21"/>
                <w:highlight w:val="none"/>
                <w:lang w:val="en-US" w:eastAsia="zh-CN"/>
              </w:rPr>
              <w:t>若投标人未缴纳招标文件费，招标人或招标代理机构有权拒绝接收投标文件</w:t>
            </w:r>
            <w:r>
              <w:rPr>
                <w:rFonts w:hint="eastAsia" w:ascii="宋体" w:hAnsi="宋体"/>
                <w:b w:val="0"/>
                <w:bCs/>
                <w:color w:val="auto"/>
                <w:kern w:val="0"/>
                <w:szCs w:val="21"/>
                <w:highlight w:val="none"/>
              </w:rPr>
              <w:t>。</w:t>
            </w:r>
          </w:p>
          <w:p w14:paraId="177DE474">
            <w:pPr>
              <w:autoSpaceDE w:val="0"/>
              <w:autoSpaceDN w:val="0"/>
              <w:adjustRightInd w:val="0"/>
              <w:snapToGrid w:val="0"/>
              <w:spacing w:line="400" w:lineRule="exact"/>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2.</w:t>
            </w:r>
            <w:r>
              <w:rPr>
                <w:rFonts w:hint="eastAsia" w:ascii="宋体" w:hAnsi="宋体" w:cs="宋体"/>
                <w:b w:val="0"/>
                <w:bCs/>
                <w:color w:val="auto"/>
                <w:kern w:val="0"/>
                <w:szCs w:val="21"/>
                <w:highlight w:val="none"/>
              </w:rPr>
              <w:t>招标代理服务费：三个标段共计48000元，各标段最终金额按中标金额比例折算，由中标人在领取中标通知书时按比例一次性缴纳给代理机构。</w:t>
            </w:r>
          </w:p>
        </w:tc>
      </w:tr>
    </w:tbl>
    <w:p w14:paraId="7F033EF9">
      <w:pPr>
        <w:pStyle w:val="4"/>
        <w:spacing w:before="0" w:after="0" w:line="20" w:lineRule="exact"/>
        <w:rPr>
          <w:rFonts w:hint="eastAsia" w:ascii="宋体" w:hAnsi="宋体" w:cs="宋体"/>
          <w:b w:val="0"/>
          <w:bCs/>
          <w:snapToGrid w:val="0"/>
          <w:color w:val="auto"/>
          <w:highlight w:val="none"/>
        </w:rPr>
      </w:pPr>
      <w:bookmarkStart w:id="98" w:name="_Toc224103317"/>
      <w:bookmarkStart w:id="99" w:name="_Toc430530435"/>
      <w:bookmarkStart w:id="100" w:name="_Toc200513126"/>
      <w:bookmarkStart w:id="101" w:name="_Toc277082552"/>
      <w:bookmarkStart w:id="102" w:name="_Toc287620685"/>
      <w:bookmarkStart w:id="103" w:name="_Toc287607746"/>
    </w:p>
    <w:p w14:paraId="7F033EFA">
      <w:pPr>
        <w:pStyle w:val="4"/>
        <w:spacing w:before="0" w:after="0" w:line="200" w:lineRule="exact"/>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br w:type="page"/>
      </w:r>
    </w:p>
    <w:p w14:paraId="7F033EFB">
      <w:pPr>
        <w:pStyle w:val="4"/>
        <w:spacing w:before="0" w:after="0" w:line="360" w:lineRule="auto"/>
        <w:rPr>
          <w:rFonts w:hint="eastAsia" w:ascii="宋体" w:hAnsi="宋体" w:cs="宋体"/>
          <w:b w:val="0"/>
          <w:bCs/>
          <w:snapToGrid w:val="0"/>
          <w:color w:val="auto"/>
          <w:highlight w:val="none"/>
        </w:rPr>
      </w:pPr>
      <w:bookmarkStart w:id="104" w:name="_Toc19773"/>
      <w:bookmarkStart w:id="105" w:name="_Toc509218710"/>
      <w:r>
        <w:rPr>
          <w:rFonts w:hint="eastAsia" w:ascii="宋体" w:hAnsi="宋体" w:cs="宋体"/>
          <w:b w:val="0"/>
          <w:bCs/>
          <w:snapToGrid w:val="0"/>
          <w:color w:val="auto"/>
          <w:highlight w:val="none"/>
        </w:rPr>
        <w:t>1.  总则</w:t>
      </w:r>
      <w:bookmarkEnd w:id="98"/>
      <w:bookmarkEnd w:id="99"/>
      <w:bookmarkEnd w:id="100"/>
      <w:bookmarkEnd w:id="101"/>
      <w:bookmarkEnd w:id="102"/>
      <w:bookmarkEnd w:id="103"/>
      <w:bookmarkEnd w:id="104"/>
      <w:bookmarkEnd w:id="105"/>
    </w:p>
    <w:p w14:paraId="7F033EFC">
      <w:pPr>
        <w:pStyle w:val="5"/>
        <w:snapToGrid w:val="0"/>
        <w:spacing w:before="0" w:after="0" w:line="360" w:lineRule="auto"/>
        <w:rPr>
          <w:rFonts w:hint="eastAsia" w:ascii="宋体" w:hAnsi="宋体" w:cs="宋体"/>
          <w:b w:val="0"/>
          <w:bCs/>
          <w:snapToGrid w:val="0"/>
          <w:color w:val="auto"/>
          <w:sz w:val="24"/>
          <w:szCs w:val="24"/>
          <w:highlight w:val="none"/>
        </w:rPr>
      </w:pPr>
      <w:bookmarkStart w:id="106" w:name="_Toc200513127"/>
      <w:bookmarkStart w:id="107" w:name="_Toc224103318"/>
      <w:bookmarkStart w:id="108" w:name="_Toc287620686"/>
      <w:bookmarkStart w:id="109" w:name="_Toc13529"/>
      <w:bookmarkStart w:id="110" w:name="_Toc277082553"/>
      <w:bookmarkStart w:id="111" w:name="_Toc430530436"/>
      <w:bookmarkStart w:id="112" w:name="_Toc509218711"/>
      <w:bookmarkStart w:id="113" w:name="_Toc287607747"/>
      <w:r>
        <w:rPr>
          <w:rFonts w:hint="eastAsia" w:ascii="宋体" w:hAnsi="宋体" w:cs="宋体"/>
          <w:b w:val="0"/>
          <w:bCs/>
          <w:snapToGrid w:val="0"/>
          <w:color w:val="auto"/>
          <w:sz w:val="24"/>
          <w:szCs w:val="24"/>
          <w:highlight w:val="none"/>
        </w:rPr>
        <w:t>1.1  招标项目概况</w:t>
      </w:r>
      <w:bookmarkEnd w:id="106"/>
      <w:bookmarkEnd w:id="107"/>
      <w:bookmarkEnd w:id="108"/>
      <w:bookmarkEnd w:id="109"/>
      <w:bookmarkEnd w:id="110"/>
      <w:bookmarkEnd w:id="111"/>
      <w:bookmarkEnd w:id="112"/>
      <w:bookmarkEnd w:id="113"/>
    </w:p>
    <w:p w14:paraId="7F033EF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1.1.1  根据《中华人民共和国招标投标法》、《中华人民共和国招标投标法实施条例》等有关法律、法规和规章的规定，本招标项目已具备招标条件，现对货物采购进行招标。</w:t>
      </w:r>
    </w:p>
    <w:p w14:paraId="7F033EFE">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1.1.2  招标人：见投标人须知前附表。</w:t>
      </w:r>
    </w:p>
    <w:p w14:paraId="7F033EF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1.1.3  招标代理机构：见投标人须知前附表。</w:t>
      </w:r>
    </w:p>
    <w:p w14:paraId="7F033F0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1.1.4  招标项目名称：见投标人须知前附表。</w:t>
      </w:r>
    </w:p>
    <w:p w14:paraId="7F033F0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1.1.5  工程项目名称：即招标项目所属的工程建设项目，见投标人须知前附表。</w:t>
      </w:r>
    </w:p>
    <w:p w14:paraId="7F033F02">
      <w:pPr>
        <w:pStyle w:val="5"/>
        <w:snapToGrid w:val="0"/>
        <w:spacing w:before="0" w:after="0" w:line="360" w:lineRule="auto"/>
        <w:rPr>
          <w:rFonts w:hint="eastAsia" w:ascii="宋体" w:hAnsi="宋体" w:cs="宋体"/>
          <w:b w:val="0"/>
          <w:bCs/>
          <w:snapToGrid w:val="0"/>
          <w:color w:val="auto"/>
          <w:sz w:val="24"/>
          <w:szCs w:val="24"/>
          <w:highlight w:val="none"/>
        </w:rPr>
      </w:pPr>
      <w:bookmarkStart w:id="114" w:name="_Toc277082554"/>
      <w:bookmarkStart w:id="115" w:name="_Toc430530437"/>
      <w:bookmarkStart w:id="116" w:name="_Toc200513128"/>
      <w:bookmarkStart w:id="117" w:name="_Toc287607748"/>
      <w:bookmarkStart w:id="118" w:name="_Toc287620687"/>
      <w:bookmarkStart w:id="119" w:name="_Toc31918"/>
      <w:bookmarkStart w:id="120" w:name="_Toc224103319"/>
      <w:bookmarkStart w:id="121" w:name="_Toc509218712"/>
      <w:r>
        <w:rPr>
          <w:rFonts w:hint="eastAsia" w:ascii="宋体" w:hAnsi="宋体" w:cs="宋体"/>
          <w:b w:val="0"/>
          <w:bCs/>
          <w:snapToGrid w:val="0"/>
          <w:color w:val="auto"/>
          <w:sz w:val="24"/>
          <w:szCs w:val="24"/>
          <w:highlight w:val="none"/>
        </w:rPr>
        <w:t>1.2  招标项目的资金来源和落实情况</w:t>
      </w:r>
      <w:bookmarkEnd w:id="114"/>
      <w:bookmarkEnd w:id="115"/>
      <w:bookmarkEnd w:id="116"/>
      <w:bookmarkEnd w:id="117"/>
      <w:bookmarkEnd w:id="118"/>
      <w:bookmarkEnd w:id="119"/>
      <w:bookmarkEnd w:id="120"/>
      <w:bookmarkEnd w:id="121"/>
    </w:p>
    <w:p w14:paraId="7F033F0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1.2.1  资金来源及比例：见投标人须知前附表。</w:t>
      </w:r>
    </w:p>
    <w:p w14:paraId="7F033F0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1.2.2  资金落实情况：见投标人须知前附表。</w:t>
      </w:r>
    </w:p>
    <w:p w14:paraId="7F033F05">
      <w:pPr>
        <w:pStyle w:val="5"/>
        <w:snapToGrid w:val="0"/>
        <w:spacing w:before="0" w:after="0" w:line="360" w:lineRule="auto"/>
        <w:rPr>
          <w:rFonts w:hint="eastAsia" w:ascii="宋体" w:hAnsi="宋体" w:cs="宋体"/>
          <w:b w:val="0"/>
          <w:bCs/>
          <w:snapToGrid w:val="0"/>
          <w:color w:val="auto"/>
          <w:sz w:val="24"/>
          <w:szCs w:val="24"/>
          <w:highlight w:val="none"/>
        </w:rPr>
      </w:pPr>
      <w:bookmarkStart w:id="122" w:name="_Toc200513129"/>
      <w:bookmarkStart w:id="123" w:name="_Toc287620688"/>
      <w:bookmarkStart w:id="124" w:name="_Toc509218713"/>
      <w:bookmarkStart w:id="125" w:name="_Toc287607749"/>
      <w:bookmarkStart w:id="126" w:name="_Toc224103320"/>
      <w:bookmarkStart w:id="127" w:name="_Toc277082555"/>
      <w:bookmarkStart w:id="128" w:name="_Toc430530438"/>
      <w:bookmarkStart w:id="129" w:name="_Toc19427"/>
      <w:r>
        <w:rPr>
          <w:rFonts w:hint="eastAsia" w:ascii="宋体" w:hAnsi="宋体" w:cs="宋体"/>
          <w:b w:val="0"/>
          <w:bCs/>
          <w:snapToGrid w:val="0"/>
          <w:color w:val="auto"/>
          <w:sz w:val="24"/>
          <w:szCs w:val="24"/>
          <w:highlight w:val="none"/>
        </w:rPr>
        <w:t>1.3  招标范围、</w:t>
      </w:r>
      <w:bookmarkEnd w:id="122"/>
      <w:bookmarkEnd w:id="123"/>
      <w:bookmarkEnd w:id="124"/>
      <w:bookmarkEnd w:id="125"/>
      <w:bookmarkEnd w:id="126"/>
      <w:bookmarkEnd w:id="127"/>
      <w:bookmarkEnd w:id="128"/>
      <w:r>
        <w:rPr>
          <w:rFonts w:hint="eastAsia" w:ascii="宋体" w:hAnsi="宋体" w:cs="宋体"/>
          <w:b w:val="0"/>
          <w:bCs/>
          <w:snapToGrid w:val="0"/>
          <w:color w:val="auto"/>
          <w:sz w:val="24"/>
          <w:szCs w:val="24"/>
          <w:highlight w:val="none"/>
        </w:rPr>
        <w:t>交货期、交货地点和技术性能指标</w:t>
      </w:r>
      <w:bookmarkEnd w:id="129"/>
    </w:p>
    <w:p w14:paraId="7F033F0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1.3.1  招标范围：见投标人须知前附表。</w:t>
      </w:r>
    </w:p>
    <w:p w14:paraId="7F033F0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1.3.2  交货期：见投标人须知前附表。</w:t>
      </w:r>
    </w:p>
    <w:p w14:paraId="7F033F08">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1.3.3  交货地点：见投标人须知前附表。</w:t>
      </w:r>
    </w:p>
    <w:p w14:paraId="7F033F09">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snapToGrid w:val="0"/>
          <w:color w:val="auto"/>
          <w:kern w:val="0"/>
          <w:szCs w:val="21"/>
          <w:highlight w:val="none"/>
        </w:rPr>
        <w:t>1.3.4  质量标准、技术性能指标：见投标人须知前附表。</w:t>
      </w:r>
    </w:p>
    <w:p w14:paraId="7F033F0A">
      <w:pPr>
        <w:pStyle w:val="5"/>
        <w:snapToGrid w:val="0"/>
        <w:spacing w:before="0" w:after="0" w:line="360" w:lineRule="auto"/>
        <w:rPr>
          <w:rFonts w:hint="eastAsia" w:ascii="宋体" w:hAnsi="宋体" w:cs="宋体"/>
          <w:b w:val="0"/>
          <w:bCs/>
          <w:snapToGrid w:val="0"/>
          <w:color w:val="auto"/>
          <w:sz w:val="24"/>
          <w:szCs w:val="24"/>
          <w:highlight w:val="none"/>
        </w:rPr>
      </w:pPr>
      <w:bookmarkStart w:id="130" w:name="_Toc16916"/>
      <w:bookmarkStart w:id="131" w:name="_Toc287607750"/>
      <w:bookmarkStart w:id="132" w:name="_Toc509218714"/>
      <w:bookmarkStart w:id="133" w:name="_Toc430530439"/>
      <w:bookmarkStart w:id="134" w:name="_Toc200513130"/>
      <w:bookmarkStart w:id="135" w:name="_Toc224103321"/>
      <w:bookmarkStart w:id="136" w:name="_Toc277082556"/>
      <w:bookmarkStart w:id="137" w:name="_Toc287620689"/>
      <w:r>
        <w:rPr>
          <w:rFonts w:hint="eastAsia" w:ascii="宋体" w:hAnsi="宋体" w:cs="宋体"/>
          <w:b w:val="0"/>
          <w:bCs/>
          <w:snapToGrid w:val="0"/>
          <w:color w:val="auto"/>
          <w:sz w:val="24"/>
          <w:szCs w:val="24"/>
          <w:highlight w:val="none"/>
        </w:rPr>
        <w:t>1.4  投标人资格要求</w:t>
      </w:r>
      <w:bookmarkEnd w:id="130"/>
      <w:bookmarkEnd w:id="131"/>
      <w:bookmarkEnd w:id="132"/>
      <w:bookmarkEnd w:id="133"/>
      <w:bookmarkEnd w:id="134"/>
      <w:bookmarkEnd w:id="135"/>
      <w:bookmarkEnd w:id="136"/>
      <w:bookmarkEnd w:id="137"/>
    </w:p>
    <w:p w14:paraId="7F033F0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投标人应是收到招标人发出投标邀请书的单位。</w:t>
      </w:r>
    </w:p>
    <w:p w14:paraId="7F033F0C">
      <w:pPr>
        <w:pStyle w:val="5"/>
        <w:snapToGrid w:val="0"/>
        <w:spacing w:before="0" w:after="0" w:line="360" w:lineRule="auto"/>
        <w:rPr>
          <w:rFonts w:hint="eastAsia" w:ascii="宋体" w:hAnsi="宋体" w:cs="宋体"/>
          <w:b w:val="0"/>
          <w:bCs/>
          <w:snapToGrid w:val="0"/>
          <w:color w:val="auto"/>
          <w:sz w:val="24"/>
          <w:szCs w:val="24"/>
          <w:highlight w:val="none"/>
        </w:rPr>
      </w:pPr>
      <w:bookmarkStart w:id="138" w:name="_Toc287607751"/>
      <w:bookmarkStart w:id="139" w:name="_Toc287620690"/>
      <w:bookmarkStart w:id="140" w:name="_Toc224103322"/>
      <w:bookmarkStart w:id="141" w:name="_Toc200513131"/>
      <w:bookmarkStart w:id="142" w:name="_Toc430530440"/>
      <w:bookmarkStart w:id="143" w:name="_Toc277082557"/>
      <w:bookmarkStart w:id="144" w:name="_Toc27713"/>
      <w:bookmarkStart w:id="145" w:name="_Toc509218715"/>
      <w:r>
        <w:rPr>
          <w:rFonts w:hint="eastAsia" w:ascii="宋体" w:hAnsi="宋体" w:cs="宋体"/>
          <w:b w:val="0"/>
          <w:bCs/>
          <w:snapToGrid w:val="0"/>
          <w:color w:val="auto"/>
          <w:sz w:val="24"/>
          <w:szCs w:val="24"/>
          <w:highlight w:val="none"/>
        </w:rPr>
        <w:t>1.4  投标人资格要求</w:t>
      </w:r>
      <w:bookmarkEnd w:id="138"/>
      <w:bookmarkEnd w:id="139"/>
      <w:bookmarkEnd w:id="140"/>
      <w:bookmarkEnd w:id="141"/>
      <w:bookmarkEnd w:id="142"/>
      <w:bookmarkEnd w:id="143"/>
      <w:bookmarkEnd w:id="144"/>
      <w:bookmarkEnd w:id="145"/>
    </w:p>
    <w:p w14:paraId="7F033F0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1.4.1 投标人应具备承担本招标项目的资质条件、能力和信誉：</w:t>
      </w:r>
    </w:p>
    <w:p w14:paraId="7F033F0E">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w:t>
      </w:r>
      <w:r>
        <w:rPr>
          <w:rFonts w:hint="eastAsia" w:ascii="宋体" w:hAnsi="宋体" w:cs="宋体"/>
          <w:b w:val="0"/>
          <w:bCs/>
          <w:color w:val="auto"/>
          <w:szCs w:val="21"/>
          <w:highlight w:val="none"/>
        </w:rPr>
        <w:t>独立法人资格和资质要求</w:t>
      </w:r>
      <w:r>
        <w:rPr>
          <w:rFonts w:hint="eastAsia" w:ascii="宋体" w:hAnsi="宋体" w:cs="宋体"/>
          <w:b w:val="0"/>
          <w:bCs/>
          <w:snapToGrid w:val="0"/>
          <w:color w:val="auto"/>
          <w:kern w:val="0"/>
          <w:szCs w:val="21"/>
          <w:highlight w:val="none"/>
        </w:rPr>
        <w:t>：见投标人须知前附表；</w:t>
      </w:r>
    </w:p>
    <w:p w14:paraId="7F033F0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（2）财务要求：见投标人须知前附表；</w:t>
      </w:r>
    </w:p>
    <w:p w14:paraId="7F033F1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（3）业绩要求：见投标人须知前附表；</w:t>
      </w:r>
    </w:p>
    <w:p w14:paraId="7F033F1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w:t>
      </w:r>
      <w:r>
        <w:rPr>
          <w:rFonts w:hint="eastAsia" w:ascii="宋体" w:hAnsi="宋体" w:cs="宋体"/>
          <w:b w:val="0"/>
          <w:bCs/>
          <w:color w:val="auto"/>
          <w:szCs w:val="21"/>
          <w:highlight w:val="none"/>
          <w:lang w:bidi="ar"/>
        </w:rPr>
        <w:t>投标截止日投标资格情况</w:t>
      </w:r>
      <w:r>
        <w:rPr>
          <w:rFonts w:hint="eastAsia" w:ascii="宋体" w:hAnsi="宋体" w:cs="宋体"/>
          <w:b w:val="0"/>
          <w:bCs/>
          <w:snapToGrid w:val="0"/>
          <w:color w:val="auto"/>
          <w:kern w:val="0"/>
          <w:szCs w:val="21"/>
          <w:highlight w:val="none"/>
        </w:rPr>
        <w:t>：见投标人须知前附表；</w:t>
      </w:r>
    </w:p>
    <w:p w14:paraId="7F033F12">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（5）其他要求：见投标人须知前附表。</w:t>
      </w:r>
    </w:p>
    <w:p w14:paraId="7F033F1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1.4.2  投标人须知前附表规定接受联合体投标的，联合体除应符合本章第1.4.1项和投标人须知前附表的要求外，还应遵守以下规定：</w:t>
      </w:r>
    </w:p>
    <w:p w14:paraId="7F033F1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（1）联合体各方应按招标文件提供的格式签订共同投标协议，明确联合体牵头人和各方权利义务，并承诺就中标项目向招标人承担连带责任；</w:t>
      </w:r>
    </w:p>
    <w:p w14:paraId="7F033F1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（2）联合体各方均应当具备承担招标项目的相应能力；共同投标协议约定同一专业分工由两个及以上单位共同承担的，按照资质等级较低的单位确定资质等级；</w:t>
      </w:r>
    </w:p>
    <w:p w14:paraId="7F033F1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（3）联合体各方不得再以自己名义单独或参加其他联合体在本招标项目同一标段中投标，否则各相关投标均无效。</w:t>
      </w:r>
    </w:p>
    <w:p w14:paraId="7F033F1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1.4.3  投标人不得存在下列情形之一：</w:t>
      </w:r>
    </w:p>
    <w:p w14:paraId="7F033F18">
      <w:pPr>
        <w:autoSpaceDE w:val="0"/>
        <w:autoSpaceDN w:val="0"/>
        <w:adjustRightInd w:val="0"/>
        <w:snapToGrid w:val="0"/>
        <w:spacing w:line="360" w:lineRule="auto"/>
        <w:ind w:firstLine="420" w:firstLineChars="200"/>
        <w:rPr>
          <w:rFonts w:hint="eastAsia" w:ascii="宋体" w:hAnsi="宋体" w:cs="宋体"/>
          <w:b w:val="0"/>
          <w:bCs/>
          <w:snapToGrid w:val="0"/>
          <w:color w:val="auto"/>
          <w:kern w:val="0"/>
          <w:position w:val="-2"/>
          <w:szCs w:val="21"/>
          <w:highlight w:val="none"/>
        </w:rPr>
      </w:pPr>
      <w:r>
        <w:rPr>
          <w:rFonts w:hint="eastAsia" w:ascii="宋体" w:hAnsi="宋体" w:cs="宋体"/>
          <w:b w:val="0"/>
          <w:bCs/>
          <w:snapToGrid w:val="0"/>
          <w:color w:val="auto"/>
          <w:kern w:val="0"/>
          <w:position w:val="-2"/>
          <w:szCs w:val="21"/>
          <w:highlight w:val="none"/>
        </w:rPr>
        <w:t>（1）与招标人存在利害关系且可能影响招标公正性的法人、其他组织或者个人；</w:t>
      </w:r>
    </w:p>
    <w:p w14:paraId="7F033F19">
      <w:pPr>
        <w:autoSpaceDE w:val="0"/>
        <w:autoSpaceDN w:val="0"/>
        <w:adjustRightInd w:val="0"/>
        <w:snapToGrid w:val="0"/>
        <w:spacing w:line="360" w:lineRule="auto"/>
        <w:ind w:firstLine="420" w:firstLineChars="200"/>
        <w:rPr>
          <w:rFonts w:hint="eastAsia" w:ascii="宋体" w:hAnsi="宋体" w:cs="宋体"/>
          <w:b w:val="0"/>
          <w:bCs/>
          <w:snapToGrid w:val="0"/>
          <w:color w:val="auto"/>
          <w:kern w:val="0"/>
          <w:position w:val="-2"/>
          <w:szCs w:val="21"/>
          <w:highlight w:val="none"/>
        </w:rPr>
      </w:pPr>
      <w:r>
        <w:rPr>
          <w:rFonts w:hint="eastAsia" w:ascii="宋体" w:hAnsi="宋体" w:cs="宋体"/>
          <w:b w:val="0"/>
          <w:bCs/>
          <w:snapToGrid w:val="0"/>
          <w:color w:val="auto"/>
          <w:kern w:val="0"/>
          <w:position w:val="-2"/>
          <w:szCs w:val="21"/>
          <w:highlight w:val="none"/>
        </w:rPr>
        <w:t>（2）与本招标项目的其他投标人为同一个单位负责人；</w:t>
      </w:r>
    </w:p>
    <w:p w14:paraId="7F033F1A">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snapToGrid w:val="0"/>
          <w:color w:val="auto"/>
          <w:kern w:val="0"/>
          <w:position w:val="-2"/>
          <w:szCs w:val="21"/>
          <w:highlight w:val="none"/>
        </w:rPr>
        <w:t>（3）</w:t>
      </w:r>
      <w:r>
        <w:rPr>
          <w:rFonts w:hint="eastAsia" w:ascii="宋体" w:hAnsi="宋体" w:cs="宋体"/>
          <w:b w:val="0"/>
          <w:bCs/>
          <w:color w:val="auto"/>
          <w:highlight w:val="none"/>
        </w:rPr>
        <w:t>与本招标项目的其他投标人存在控股、管理关系；</w:t>
      </w:r>
    </w:p>
    <w:p w14:paraId="7F033F1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position w:val="-2"/>
          <w:szCs w:val="21"/>
          <w:highlight w:val="none"/>
        </w:rPr>
        <w:t>（4）</w:t>
      </w:r>
      <w:r>
        <w:rPr>
          <w:rFonts w:hint="eastAsia" w:ascii="宋体" w:hAnsi="宋体" w:cs="宋体"/>
          <w:b w:val="0"/>
          <w:bCs/>
          <w:color w:val="auto"/>
          <w:highlight w:val="none"/>
        </w:rPr>
        <w:t>与本招标项目其他投标人代理同一个制造商同一品牌同一型号的货物投标；</w:t>
      </w:r>
    </w:p>
    <w:p w14:paraId="7F033F1C">
      <w:pPr>
        <w:autoSpaceDE w:val="0"/>
        <w:autoSpaceDN w:val="0"/>
        <w:adjustRightInd w:val="0"/>
        <w:snapToGrid w:val="0"/>
        <w:spacing w:line="360" w:lineRule="auto"/>
        <w:ind w:firstLine="420" w:firstLineChars="200"/>
        <w:rPr>
          <w:rFonts w:hint="eastAsia" w:ascii="宋体" w:hAnsi="宋体" w:cs="宋体"/>
          <w:b w:val="0"/>
          <w:bCs/>
          <w:snapToGrid w:val="0"/>
          <w:color w:val="auto"/>
          <w:kern w:val="0"/>
          <w:position w:val="-2"/>
          <w:szCs w:val="21"/>
          <w:highlight w:val="none"/>
        </w:rPr>
      </w:pPr>
      <w:r>
        <w:rPr>
          <w:rFonts w:hint="eastAsia" w:ascii="宋体" w:hAnsi="宋体" w:cs="宋体"/>
          <w:b w:val="0"/>
          <w:bCs/>
          <w:snapToGrid w:val="0"/>
          <w:color w:val="auto"/>
          <w:kern w:val="0"/>
          <w:position w:val="-2"/>
          <w:szCs w:val="21"/>
          <w:highlight w:val="none"/>
        </w:rPr>
        <w:t>（5）为本招标项目提供过设计、编制技术规范和其他文件的咨询服务；</w:t>
      </w:r>
    </w:p>
    <w:p w14:paraId="7F033F1D">
      <w:pPr>
        <w:autoSpaceDE w:val="0"/>
        <w:autoSpaceDN w:val="0"/>
        <w:adjustRightInd w:val="0"/>
        <w:snapToGrid w:val="0"/>
        <w:spacing w:line="360" w:lineRule="auto"/>
        <w:ind w:firstLine="420" w:firstLineChars="200"/>
        <w:rPr>
          <w:rFonts w:hint="eastAsia" w:ascii="宋体" w:hAnsi="宋体" w:cs="宋体"/>
          <w:b w:val="0"/>
          <w:bCs/>
          <w:snapToGrid w:val="0"/>
          <w:color w:val="auto"/>
          <w:kern w:val="0"/>
          <w:position w:val="-2"/>
          <w:szCs w:val="21"/>
          <w:highlight w:val="none"/>
        </w:rPr>
      </w:pPr>
      <w:r>
        <w:rPr>
          <w:rFonts w:hint="eastAsia" w:ascii="宋体" w:hAnsi="宋体" w:cs="宋体"/>
          <w:b w:val="0"/>
          <w:bCs/>
          <w:snapToGrid w:val="0"/>
          <w:color w:val="auto"/>
          <w:kern w:val="0"/>
          <w:position w:val="-2"/>
          <w:szCs w:val="21"/>
          <w:highlight w:val="none"/>
        </w:rPr>
        <w:t>（6）为本工程项目的相关监理人，或者与本工程项目的相关监理人存在隶属关系或者其他利害关系；</w:t>
      </w:r>
    </w:p>
    <w:p w14:paraId="7F033F1E">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（7）为本招标项目的代建人；</w:t>
      </w:r>
    </w:p>
    <w:p w14:paraId="7F033F1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（8）为本招标项目的招标代理机构；</w:t>
      </w:r>
    </w:p>
    <w:p w14:paraId="7F033F2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（9）与本招标项目的监理人或代建人或招标代理机构同为一个法定代表人；</w:t>
      </w:r>
    </w:p>
    <w:p w14:paraId="7F033F2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（10）与本招标项目的监理人或代建人或招标代理机构存在控股或参股关系；</w:t>
      </w:r>
    </w:p>
    <w:p w14:paraId="7F033F22">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w:t>
      </w:r>
      <w:bookmarkStart w:id="146" w:name="_Hlk66280425"/>
      <w:r>
        <w:rPr>
          <w:rFonts w:hint="eastAsia" w:ascii="宋体" w:hAnsi="宋体" w:cs="宋体"/>
          <w:b w:val="0"/>
          <w:bCs/>
          <w:snapToGrid w:val="0"/>
          <w:color w:val="auto"/>
          <w:kern w:val="0"/>
          <w:szCs w:val="21"/>
          <w:highlight w:val="none"/>
        </w:rPr>
        <w:t>被责令停产停业、暂扣或者吊销许可证、暂扣或者吊销执照；</w:t>
      </w:r>
      <w:bookmarkEnd w:id="146"/>
    </w:p>
    <w:p w14:paraId="7F033F2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（12）</w:t>
      </w:r>
      <w:bookmarkStart w:id="147" w:name="_Hlk66280433"/>
      <w:r>
        <w:rPr>
          <w:rFonts w:hint="eastAsia" w:ascii="宋体" w:hAnsi="宋体" w:cs="宋体"/>
          <w:b w:val="0"/>
          <w:bCs/>
          <w:snapToGrid w:val="0"/>
          <w:color w:val="auto"/>
          <w:kern w:val="0"/>
          <w:szCs w:val="21"/>
          <w:highlight w:val="none"/>
        </w:rPr>
        <w:t>进入清算程序，或被宣告破产，或其他丧失履约能力的情形；</w:t>
      </w:r>
      <w:bookmarkEnd w:id="147"/>
    </w:p>
    <w:p w14:paraId="7F033F2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（13）被市场监督管理机关在全国企业信用信息公示系统中列入严重违法失信企业名单；</w:t>
      </w:r>
    </w:p>
    <w:p w14:paraId="7F033F2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（14）法律法规或投标人须知前附表规定的其他情形。</w:t>
      </w:r>
    </w:p>
    <w:p w14:paraId="7F033F26">
      <w:pPr>
        <w:pStyle w:val="5"/>
        <w:snapToGrid w:val="0"/>
        <w:spacing w:before="0" w:after="0" w:line="360" w:lineRule="auto"/>
        <w:rPr>
          <w:rFonts w:hint="eastAsia" w:ascii="宋体" w:hAnsi="宋体" w:cs="宋体"/>
          <w:b w:val="0"/>
          <w:bCs/>
          <w:snapToGrid w:val="0"/>
          <w:color w:val="auto"/>
          <w:sz w:val="24"/>
          <w:szCs w:val="24"/>
          <w:highlight w:val="none"/>
        </w:rPr>
      </w:pPr>
      <w:bookmarkStart w:id="148" w:name="_Toc277082558"/>
      <w:bookmarkStart w:id="149" w:name="_Toc509218716"/>
      <w:bookmarkStart w:id="150" w:name="_Toc24300"/>
      <w:bookmarkStart w:id="151" w:name="_Toc224103323"/>
      <w:bookmarkStart w:id="152" w:name="_Toc287607752"/>
      <w:bookmarkStart w:id="153" w:name="_Toc200513132"/>
      <w:bookmarkStart w:id="154" w:name="_Toc287620691"/>
      <w:bookmarkStart w:id="155" w:name="_Toc430530441"/>
      <w:r>
        <w:rPr>
          <w:rFonts w:hint="eastAsia" w:ascii="宋体" w:hAnsi="宋体" w:cs="宋体"/>
          <w:b w:val="0"/>
          <w:bCs/>
          <w:snapToGrid w:val="0"/>
          <w:color w:val="auto"/>
          <w:sz w:val="24"/>
          <w:szCs w:val="24"/>
          <w:highlight w:val="none"/>
        </w:rPr>
        <w:t>1.5  费用承担</w:t>
      </w:r>
      <w:bookmarkEnd w:id="148"/>
      <w:bookmarkEnd w:id="149"/>
      <w:bookmarkEnd w:id="150"/>
      <w:bookmarkEnd w:id="151"/>
      <w:bookmarkEnd w:id="152"/>
      <w:bookmarkEnd w:id="153"/>
      <w:bookmarkEnd w:id="154"/>
      <w:bookmarkEnd w:id="155"/>
    </w:p>
    <w:p w14:paraId="7F033F2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投标人准备和参加投标活动发生的费用自理。</w:t>
      </w:r>
    </w:p>
    <w:p w14:paraId="7F033F28">
      <w:pPr>
        <w:pStyle w:val="5"/>
        <w:snapToGrid w:val="0"/>
        <w:spacing w:before="0" w:after="0" w:line="360" w:lineRule="auto"/>
        <w:rPr>
          <w:rFonts w:hint="eastAsia" w:ascii="宋体" w:hAnsi="宋体" w:cs="宋体"/>
          <w:b w:val="0"/>
          <w:bCs/>
          <w:snapToGrid w:val="0"/>
          <w:color w:val="auto"/>
          <w:sz w:val="24"/>
          <w:szCs w:val="24"/>
          <w:highlight w:val="none"/>
        </w:rPr>
      </w:pPr>
      <w:bookmarkStart w:id="156" w:name="_Toc287620692"/>
      <w:bookmarkStart w:id="157" w:name="_Toc277082559"/>
      <w:bookmarkStart w:id="158" w:name="_Toc430530442"/>
      <w:bookmarkStart w:id="159" w:name="_Toc224103324"/>
      <w:bookmarkStart w:id="160" w:name="_Toc200513133"/>
      <w:bookmarkStart w:id="161" w:name="_Toc509218717"/>
      <w:bookmarkStart w:id="162" w:name="_Toc287607753"/>
      <w:bookmarkStart w:id="163" w:name="_Toc11525"/>
      <w:r>
        <w:rPr>
          <w:rFonts w:hint="eastAsia" w:ascii="宋体" w:hAnsi="宋体" w:cs="宋体"/>
          <w:b w:val="0"/>
          <w:bCs/>
          <w:snapToGrid w:val="0"/>
          <w:color w:val="auto"/>
          <w:sz w:val="24"/>
          <w:szCs w:val="24"/>
          <w:highlight w:val="none"/>
        </w:rPr>
        <w:t>1.6  保密</w:t>
      </w:r>
      <w:bookmarkEnd w:id="156"/>
      <w:bookmarkEnd w:id="157"/>
      <w:bookmarkEnd w:id="158"/>
      <w:bookmarkEnd w:id="159"/>
      <w:bookmarkEnd w:id="160"/>
      <w:bookmarkEnd w:id="161"/>
      <w:bookmarkEnd w:id="162"/>
      <w:bookmarkEnd w:id="163"/>
    </w:p>
    <w:p w14:paraId="7F033F29">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参与招标投标活动的各方应对招标文件和投标文件中的商业和技术等秘密保密，否则应承担相应的法律责任。</w:t>
      </w:r>
    </w:p>
    <w:p w14:paraId="7F033F2A">
      <w:pPr>
        <w:pStyle w:val="5"/>
        <w:snapToGrid w:val="0"/>
        <w:spacing w:before="0" w:after="0" w:line="360" w:lineRule="auto"/>
        <w:rPr>
          <w:rFonts w:hint="eastAsia" w:ascii="宋体" w:hAnsi="宋体" w:cs="宋体"/>
          <w:b w:val="0"/>
          <w:bCs/>
          <w:snapToGrid w:val="0"/>
          <w:color w:val="auto"/>
          <w:sz w:val="24"/>
          <w:szCs w:val="24"/>
          <w:highlight w:val="none"/>
        </w:rPr>
      </w:pPr>
      <w:bookmarkStart w:id="164" w:name="_Toc287620693"/>
      <w:bookmarkStart w:id="165" w:name="_Toc9058"/>
      <w:bookmarkStart w:id="166" w:name="_Toc509218718"/>
      <w:bookmarkStart w:id="167" w:name="_Toc430530443"/>
      <w:bookmarkStart w:id="168" w:name="_Toc224103325"/>
      <w:bookmarkStart w:id="169" w:name="_Toc287607754"/>
      <w:bookmarkStart w:id="170" w:name="_Toc277082560"/>
      <w:bookmarkStart w:id="171" w:name="_Toc200513134"/>
      <w:r>
        <w:rPr>
          <w:rFonts w:hint="eastAsia" w:ascii="宋体" w:hAnsi="宋体" w:cs="宋体"/>
          <w:b w:val="0"/>
          <w:bCs/>
          <w:snapToGrid w:val="0"/>
          <w:color w:val="auto"/>
          <w:sz w:val="24"/>
          <w:szCs w:val="24"/>
          <w:highlight w:val="none"/>
        </w:rPr>
        <w:t>1.7  语言文字</w:t>
      </w:r>
      <w:bookmarkEnd w:id="164"/>
      <w:bookmarkEnd w:id="165"/>
      <w:bookmarkEnd w:id="166"/>
      <w:bookmarkEnd w:id="167"/>
      <w:bookmarkEnd w:id="168"/>
      <w:bookmarkEnd w:id="169"/>
      <w:bookmarkEnd w:id="170"/>
      <w:bookmarkEnd w:id="171"/>
    </w:p>
    <w:p w14:paraId="7F033F2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招标投标文件使用的语言文字为中文。专用术语使用外文的，应附有中文注释。</w:t>
      </w:r>
    </w:p>
    <w:p w14:paraId="7F033F2C">
      <w:pPr>
        <w:pStyle w:val="5"/>
        <w:snapToGrid w:val="0"/>
        <w:spacing w:before="0" w:after="0" w:line="360" w:lineRule="auto"/>
        <w:rPr>
          <w:rFonts w:hint="eastAsia" w:ascii="宋体" w:hAnsi="宋体" w:cs="宋体"/>
          <w:b w:val="0"/>
          <w:bCs/>
          <w:snapToGrid w:val="0"/>
          <w:color w:val="auto"/>
          <w:sz w:val="24"/>
          <w:szCs w:val="24"/>
          <w:highlight w:val="none"/>
        </w:rPr>
      </w:pPr>
      <w:bookmarkStart w:id="172" w:name="_Toc430530444"/>
      <w:bookmarkStart w:id="173" w:name="_Toc25987"/>
      <w:bookmarkStart w:id="174" w:name="_Toc277082561"/>
      <w:bookmarkStart w:id="175" w:name="_Toc287620694"/>
      <w:bookmarkStart w:id="176" w:name="_Toc287607755"/>
      <w:bookmarkStart w:id="177" w:name="_Toc509218719"/>
      <w:bookmarkStart w:id="178" w:name="_Toc224103326"/>
      <w:bookmarkStart w:id="179" w:name="_Toc200513135"/>
      <w:r>
        <w:rPr>
          <w:rFonts w:hint="eastAsia" w:ascii="宋体" w:hAnsi="宋体" w:cs="宋体"/>
          <w:b w:val="0"/>
          <w:bCs/>
          <w:snapToGrid w:val="0"/>
          <w:color w:val="auto"/>
          <w:sz w:val="24"/>
          <w:szCs w:val="24"/>
          <w:highlight w:val="none"/>
        </w:rPr>
        <w:t>1.8  计量单位</w:t>
      </w:r>
      <w:bookmarkEnd w:id="172"/>
      <w:bookmarkEnd w:id="173"/>
      <w:bookmarkEnd w:id="174"/>
      <w:bookmarkEnd w:id="175"/>
      <w:bookmarkEnd w:id="176"/>
      <w:bookmarkEnd w:id="177"/>
      <w:bookmarkEnd w:id="178"/>
      <w:bookmarkEnd w:id="179"/>
    </w:p>
    <w:p w14:paraId="7F033F2D">
      <w:pPr>
        <w:autoSpaceDE w:val="0"/>
        <w:autoSpaceDN w:val="0"/>
        <w:adjustRightInd w:val="0"/>
        <w:snapToGrid w:val="0"/>
        <w:spacing w:line="360" w:lineRule="auto"/>
        <w:ind w:firstLine="424" w:firstLineChars="202"/>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所有计量均采用中华人民共和国法定计量单位。</w:t>
      </w:r>
    </w:p>
    <w:p w14:paraId="7F033F2E">
      <w:pPr>
        <w:pStyle w:val="5"/>
        <w:snapToGrid w:val="0"/>
        <w:spacing w:before="0" w:after="0" w:line="360" w:lineRule="auto"/>
        <w:rPr>
          <w:rFonts w:hint="eastAsia" w:ascii="宋体" w:hAnsi="宋体" w:cs="宋体"/>
          <w:b w:val="0"/>
          <w:bCs/>
          <w:snapToGrid w:val="0"/>
          <w:color w:val="auto"/>
          <w:sz w:val="24"/>
          <w:szCs w:val="24"/>
          <w:highlight w:val="none"/>
        </w:rPr>
      </w:pPr>
      <w:bookmarkStart w:id="180" w:name="_Toc287620696"/>
      <w:bookmarkStart w:id="181" w:name="_Toc6631"/>
      <w:bookmarkStart w:id="182" w:name="_Toc430530446"/>
      <w:bookmarkStart w:id="183" w:name="_Toc224103328"/>
      <w:bookmarkStart w:id="184" w:name="_Toc200513137"/>
      <w:bookmarkStart w:id="185" w:name="_Toc287607757"/>
      <w:bookmarkStart w:id="186" w:name="_Toc509218721"/>
      <w:bookmarkStart w:id="187" w:name="_Toc277082563"/>
      <w:r>
        <w:rPr>
          <w:rFonts w:hint="eastAsia" w:ascii="宋体" w:hAnsi="宋体" w:cs="宋体"/>
          <w:b w:val="0"/>
          <w:bCs/>
          <w:snapToGrid w:val="0"/>
          <w:color w:val="auto"/>
          <w:sz w:val="24"/>
          <w:szCs w:val="24"/>
          <w:highlight w:val="none"/>
        </w:rPr>
        <w:t>1.9  投标预备会</w:t>
      </w:r>
      <w:bookmarkEnd w:id="180"/>
      <w:bookmarkEnd w:id="181"/>
      <w:bookmarkEnd w:id="182"/>
      <w:bookmarkEnd w:id="183"/>
      <w:bookmarkEnd w:id="184"/>
      <w:bookmarkEnd w:id="185"/>
      <w:bookmarkEnd w:id="186"/>
      <w:bookmarkEnd w:id="187"/>
    </w:p>
    <w:p w14:paraId="7F033F2F">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1.9.1  投标人须知前附表规定召开投标预备会的，招标人按投标人须知前附表规定的时间和地点召开投标预备会，澄清投标人提出的问题。</w:t>
      </w:r>
    </w:p>
    <w:p w14:paraId="7F033F30">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1.9.2  投标人应按投标人须知前附表规定的时间和形式将提出的问题送达招标人，以便招标人在会议期间澄清。</w:t>
      </w:r>
    </w:p>
    <w:p w14:paraId="7F033F31">
      <w:pPr>
        <w:autoSpaceDE w:val="0"/>
        <w:autoSpaceDN w:val="0"/>
        <w:adjustRightInd w:val="0"/>
        <w:snapToGrid w:val="0"/>
        <w:spacing w:line="360" w:lineRule="auto"/>
        <w:ind w:firstLine="424" w:firstLineChars="202"/>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1.9.3  投标预备会后，招标人将对投标人所提问题的澄清，以投标人须知前附表规定的形式通知所有潜在投标人。该澄清内容为招标文件的组成部分。</w:t>
      </w:r>
    </w:p>
    <w:p w14:paraId="7F033F32">
      <w:pPr>
        <w:pStyle w:val="5"/>
        <w:snapToGrid w:val="0"/>
        <w:spacing w:before="0" w:after="0" w:line="360" w:lineRule="auto"/>
        <w:rPr>
          <w:rFonts w:hint="eastAsia" w:ascii="宋体" w:hAnsi="宋体" w:cs="宋体"/>
          <w:b w:val="0"/>
          <w:bCs/>
          <w:snapToGrid w:val="0"/>
          <w:color w:val="auto"/>
          <w:sz w:val="24"/>
          <w:szCs w:val="24"/>
          <w:highlight w:val="none"/>
        </w:rPr>
      </w:pPr>
      <w:bookmarkStart w:id="188" w:name="_Toc3345"/>
      <w:bookmarkStart w:id="189" w:name="_Toc224103329"/>
      <w:bookmarkStart w:id="190" w:name="_Toc287620697"/>
      <w:bookmarkStart w:id="191" w:name="_Toc509218722"/>
      <w:bookmarkStart w:id="192" w:name="_Toc430530447"/>
      <w:bookmarkStart w:id="193" w:name="_Toc287607758"/>
      <w:bookmarkStart w:id="194" w:name="_Toc200513138"/>
      <w:bookmarkStart w:id="195" w:name="_Toc277082564"/>
      <w:r>
        <w:rPr>
          <w:rFonts w:hint="eastAsia" w:ascii="宋体" w:hAnsi="宋体" w:cs="宋体"/>
          <w:b w:val="0"/>
          <w:bCs/>
          <w:snapToGrid w:val="0"/>
          <w:color w:val="auto"/>
          <w:sz w:val="24"/>
          <w:szCs w:val="24"/>
          <w:highlight w:val="none"/>
        </w:rPr>
        <w:t>1.10  分包</w:t>
      </w:r>
      <w:bookmarkEnd w:id="188"/>
      <w:bookmarkEnd w:id="189"/>
      <w:bookmarkEnd w:id="190"/>
      <w:bookmarkEnd w:id="191"/>
      <w:bookmarkEnd w:id="192"/>
      <w:bookmarkEnd w:id="193"/>
      <w:bookmarkEnd w:id="194"/>
      <w:bookmarkEnd w:id="195"/>
    </w:p>
    <w:p w14:paraId="7F033F33">
      <w:pPr>
        <w:autoSpaceDE w:val="0"/>
        <w:autoSpaceDN w:val="0"/>
        <w:adjustRightInd w:val="0"/>
        <w:snapToGrid w:val="0"/>
        <w:spacing w:line="360" w:lineRule="auto"/>
        <w:ind w:firstLine="426"/>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1.10.1  投标人拟在中标后将中标项目的非主体货物进行分包的，应符合投标人须知前附表规定的分包内容、分包金额和资质要求等限制性条件，除投标人须知前附表规定的非主体货物外，其他工作不得分包。</w:t>
      </w:r>
    </w:p>
    <w:p w14:paraId="7F033F34">
      <w:pPr>
        <w:autoSpaceDE w:val="0"/>
        <w:autoSpaceDN w:val="0"/>
        <w:adjustRightInd w:val="0"/>
        <w:snapToGrid w:val="0"/>
        <w:spacing w:line="360" w:lineRule="auto"/>
        <w:ind w:firstLine="426"/>
        <w:rPr>
          <w:rFonts w:ascii="宋体" w:hAnsi="宋体" w:cs="宋体"/>
          <w:b w:val="0"/>
          <w:bCs/>
          <w:color w:val="auto"/>
          <w:highlight w:val="none"/>
        </w:rPr>
      </w:pPr>
      <w:r>
        <w:rPr>
          <w:rFonts w:hint="eastAsia" w:ascii="宋体" w:hAnsi="宋体" w:cs="宋体"/>
          <w:b w:val="0"/>
          <w:bCs/>
          <w:snapToGrid w:val="0"/>
          <w:color w:val="auto"/>
          <w:kern w:val="0"/>
          <w:szCs w:val="21"/>
          <w:highlight w:val="none"/>
        </w:rPr>
        <w:t xml:space="preserve">1.10.2  </w:t>
      </w:r>
      <w:r>
        <w:rPr>
          <w:rFonts w:hint="eastAsia" w:ascii="宋体" w:hAnsi="宋体" w:cs="宋体"/>
          <w:b w:val="0"/>
          <w:bCs/>
          <w:color w:val="auto"/>
          <w:highlight w:val="none"/>
        </w:rPr>
        <w:t>中标人不得向他人转让中标项目，接受分包的人不得再次分包。中标人应当就分包项目向招标人负责，接受分包的人就分包项目承担连带责任。</w:t>
      </w:r>
    </w:p>
    <w:p w14:paraId="7F033F35">
      <w:pPr>
        <w:pStyle w:val="5"/>
        <w:snapToGrid w:val="0"/>
        <w:spacing w:before="0" w:after="0" w:line="360" w:lineRule="auto"/>
        <w:rPr>
          <w:rFonts w:hint="eastAsia" w:ascii="宋体" w:hAnsi="宋体" w:cs="宋体"/>
          <w:b w:val="0"/>
          <w:bCs/>
          <w:snapToGrid w:val="0"/>
          <w:color w:val="auto"/>
          <w:sz w:val="24"/>
          <w:szCs w:val="24"/>
          <w:highlight w:val="none"/>
        </w:rPr>
      </w:pPr>
      <w:bookmarkStart w:id="196" w:name="_Toc287607759"/>
      <w:bookmarkStart w:id="197" w:name="_Toc277082565"/>
      <w:bookmarkStart w:id="198" w:name="_Toc430530448"/>
      <w:bookmarkStart w:id="199" w:name="_Toc200513139"/>
      <w:bookmarkStart w:id="200" w:name="_Toc287620698"/>
      <w:bookmarkStart w:id="201" w:name="_Toc509218723"/>
      <w:bookmarkStart w:id="202" w:name="_Toc224103330"/>
      <w:bookmarkStart w:id="203" w:name="_Toc16511"/>
      <w:r>
        <w:rPr>
          <w:rFonts w:hint="eastAsia" w:ascii="宋体" w:hAnsi="宋体" w:cs="宋体"/>
          <w:b w:val="0"/>
          <w:bCs/>
          <w:snapToGrid w:val="0"/>
          <w:color w:val="auto"/>
          <w:sz w:val="24"/>
          <w:szCs w:val="24"/>
          <w:highlight w:val="none"/>
        </w:rPr>
        <w:t xml:space="preserve">1.11  </w:t>
      </w:r>
      <w:bookmarkEnd w:id="196"/>
      <w:bookmarkEnd w:id="197"/>
      <w:bookmarkEnd w:id="198"/>
      <w:bookmarkEnd w:id="199"/>
      <w:bookmarkEnd w:id="200"/>
      <w:bookmarkEnd w:id="201"/>
      <w:bookmarkEnd w:id="202"/>
      <w:r>
        <w:rPr>
          <w:rFonts w:hint="eastAsia" w:ascii="宋体" w:hAnsi="宋体" w:cs="宋体"/>
          <w:b w:val="0"/>
          <w:bCs/>
          <w:snapToGrid w:val="0"/>
          <w:color w:val="auto"/>
          <w:sz w:val="24"/>
          <w:szCs w:val="24"/>
          <w:highlight w:val="none"/>
        </w:rPr>
        <w:t>响应和偏差</w:t>
      </w:r>
      <w:bookmarkEnd w:id="203"/>
    </w:p>
    <w:p w14:paraId="7F033F3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1.11.1  投标人应根据招标文件的要求提供</w:t>
      </w:r>
      <w:r>
        <w:rPr>
          <w:rFonts w:hint="eastAsia" w:ascii="宋体" w:hAnsi="宋体" w:cs="宋体"/>
          <w:b w:val="0"/>
          <w:bCs/>
          <w:color w:val="auto"/>
          <w:spacing w:val="-3"/>
          <w:highlight w:val="none"/>
        </w:rPr>
        <w:t>投标设备技术性能指标的详细描述、技术支持资料及技术服务和质量保证期服务计划等内容以对招标文件作出响应</w:t>
      </w:r>
      <w:r>
        <w:rPr>
          <w:rFonts w:hint="eastAsia" w:ascii="宋体" w:hAnsi="宋体" w:cs="宋体"/>
          <w:b w:val="0"/>
          <w:bCs/>
          <w:snapToGrid w:val="0"/>
          <w:color w:val="auto"/>
          <w:kern w:val="0"/>
          <w:szCs w:val="21"/>
          <w:highlight w:val="none"/>
        </w:rPr>
        <w:t>。</w:t>
      </w:r>
    </w:p>
    <w:p w14:paraId="7F033F3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1.11.2  </w:t>
      </w:r>
      <w:r>
        <w:rPr>
          <w:rFonts w:hint="eastAsia" w:ascii="宋体" w:hAnsi="宋体" w:cs="宋体"/>
          <w:b w:val="0"/>
          <w:bCs/>
          <w:color w:val="auto"/>
          <w:spacing w:val="-3"/>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7F033F38">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1.11.3  </w:t>
      </w:r>
      <w:r>
        <w:rPr>
          <w:rFonts w:hint="eastAsia" w:ascii="宋体" w:hAnsi="宋体" w:cs="宋体"/>
          <w:b w:val="0"/>
          <w:bCs/>
          <w:color w:val="auto"/>
          <w:spacing w:val="-3"/>
          <w:highlight w:val="none"/>
        </w:rPr>
        <w:t>投标人须知前附表规定了允许偏差和最高偏差项数的，投标文件的偏差项数应当符合投标人须知前附表的规定。</w:t>
      </w:r>
    </w:p>
    <w:p w14:paraId="7F033F39">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1.11.4  </w:t>
      </w:r>
      <w:r>
        <w:rPr>
          <w:rFonts w:hint="eastAsia" w:ascii="宋体" w:hAnsi="宋体" w:cs="宋体"/>
          <w:b w:val="0"/>
          <w:bCs/>
          <w:color w:val="auto"/>
          <w:spacing w:val="-3"/>
          <w:highlight w:val="none"/>
        </w:rPr>
        <w:t>投标文件对招标文件的全部偏差，均应在投标文件的商务和技术偏差表中列明，除列明的内容外，视为投标人响应招标文件的全部要求。</w:t>
      </w:r>
    </w:p>
    <w:p w14:paraId="7F033F3A">
      <w:pPr>
        <w:pStyle w:val="4"/>
        <w:spacing w:before="0" w:after="0" w:line="360" w:lineRule="auto"/>
        <w:rPr>
          <w:rFonts w:hint="eastAsia" w:ascii="宋体" w:hAnsi="宋体" w:cs="宋体"/>
          <w:b w:val="0"/>
          <w:bCs/>
          <w:snapToGrid w:val="0"/>
          <w:color w:val="auto"/>
          <w:highlight w:val="none"/>
        </w:rPr>
      </w:pPr>
      <w:bookmarkStart w:id="204" w:name="_Toc509218724"/>
      <w:bookmarkStart w:id="205" w:name="_Toc1441"/>
      <w:bookmarkStart w:id="206" w:name="_Toc287607760"/>
      <w:bookmarkStart w:id="207" w:name="_Toc200513140"/>
      <w:bookmarkStart w:id="208" w:name="_Toc287620699"/>
      <w:bookmarkStart w:id="209" w:name="_Toc430530449"/>
      <w:bookmarkStart w:id="210" w:name="_Toc224103331"/>
      <w:bookmarkStart w:id="211" w:name="_Toc277082566"/>
      <w:r>
        <w:rPr>
          <w:rFonts w:hint="eastAsia" w:ascii="宋体" w:hAnsi="宋体" w:cs="宋体"/>
          <w:b w:val="0"/>
          <w:bCs/>
          <w:snapToGrid w:val="0"/>
          <w:color w:val="auto"/>
          <w:highlight w:val="none"/>
        </w:rPr>
        <w:t>2.  招标文件</w:t>
      </w:r>
      <w:bookmarkEnd w:id="204"/>
      <w:bookmarkEnd w:id="205"/>
      <w:bookmarkEnd w:id="206"/>
      <w:bookmarkEnd w:id="207"/>
      <w:bookmarkEnd w:id="208"/>
      <w:bookmarkEnd w:id="209"/>
      <w:bookmarkEnd w:id="210"/>
      <w:bookmarkEnd w:id="211"/>
    </w:p>
    <w:p w14:paraId="7F033F3B">
      <w:pPr>
        <w:pStyle w:val="5"/>
        <w:snapToGrid w:val="0"/>
        <w:spacing w:before="0" w:after="0" w:line="360" w:lineRule="auto"/>
        <w:rPr>
          <w:rFonts w:hint="eastAsia" w:ascii="宋体" w:hAnsi="宋体" w:cs="宋体"/>
          <w:b w:val="0"/>
          <w:bCs/>
          <w:snapToGrid w:val="0"/>
          <w:color w:val="auto"/>
          <w:sz w:val="24"/>
          <w:szCs w:val="24"/>
          <w:highlight w:val="none"/>
        </w:rPr>
      </w:pPr>
      <w:bookmarkStart w:id="212" w:name="_Toc224103332"/>
      <w:bookmarkStart w:id="213" w:name="_Toc509218725"/>
      <w:bookmarkStart w:id="214" w:name="_Toc287607761"/>
      <w:bookmarkStart w:id="215" w:name="_Toc17767"/>
      <w:bookmarkStart w:id="216" w:name="_Toc277082567"/>
      <w:bookmarkStart w:id="217" w:name="_Toc287620700"/>
      <w:bookmarkStart w:id="218" w:name="_Toc200513141"/>
      <w:bookmarkStart w:id="219" w:name="_Toc430530450"/>
      <w:r>
        <w:rPr>
          <w:rFonts w:hint="eastAsia" w:ascii="宋体" w:hAnsi="宋体" w:cs="宋体"/>
          <w:b w:val="0"/>
          <w:bCs/>
          <w:snapToGrid w:val="0"/>
          <w:color w:val="auto"/>
          <w:sz w:val="24"/>
          <w:szCs w:val="24"/>
          <w:highlight w:val="none"/>
        </w:rPr>
        <w:t>2.1  招标文件的组成</w:t>
      </w:r>
      <w:bookmarkEnd w:id="212"/>
      <w:bookmarkEnd w:id="213"/>
      <w:bookmarkEnd w:id="214"/>
      <w:bookmarkEnd w:id="215"/>
      <w:bookmarkEnd w:id="216"/>
      <w:bookmarkEnd w:id="217"/>
      <w:bookmarkEnd w:id="218"/>
      <w:bookmarkEnd w:id="219"/>
    </w:p>
    <w:p w14:paraId="7F033F3C">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本招标文件包括：</w:t>
      </w:r>
    </w:p>
    <w:p w14:paraId="7F033F3D">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（1）招标公告；</w:t>
      </w:r>
    </w:p>
    <w:p w14:paraId="7F033F3E">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（2）投标人须知；</w:t>
      </w:r>
    </w:p>
    <w:p w14:paraId="7F033F3F">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（3）评标办法；</w:t>
      </w:r>
    </w:p>
    <w:p w14:paraId="7F033F40">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（4）合同条款及格式；</w:t>
      </w:r>
    </w:p>
    <w:p w14:paraId="7F033F41">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（5）供货要求；</w:t>
      </w:r>
    </w:p>
    <w:p w14:paraId="7F033F42">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（6）投标文件格式；</w:t>
      </w:r>
    </w:p>
    <w:p w14:paraId="7F033F43">
      <w:pPr>
        <w:autoSpaceDE w:val="0"/>
        <w:autoSpaceDN w:val="0"/>
        <w:adjustRightInd w:val="0"/>
        <w:snapToGrid w:val="0"/>
        <w:spacing w:line="360" w:lineRule="auto"/>
        <w:ind w:left="359" w:leftChars="17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（7）投标人须知前附表规定的其他材料。</w:t>
      </w:r>
    </w:p>
    <w:p w14:paraId="7F033F44">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根据本章第1.10款、第2.2款和第2.3款对招标文件所作的澄清、修改，构成招标文件的组成部分。</w:t>
      </w:r>
    </w:p>
    <w:p w14:paraId="7F033F45">
      <w:pPr>
        <w:pStyle w:val="5"/>
        <w:snapToGrid w:val="0"/>
        <w:spacing w:before="0" w:after="0" w:line="360" w:lineRule="auto"/>
        <w:rPr>
          <w:rFonts w:hint="eastAsia" w:ascii="宋体" w:hAnsi="宋体" w:cs="宋体"/>
          <w:b w:val="0"/>
          <w:bCs/>
          <w:snapToGrid w:val="0"/>
          <w:color w:val="auto"/>
          <w:sz w:val="24"/>
          <w:szCs w:val="24"/>
          <w:highlight w:val="none"/>
        </w:rPr>
      </w:pPr>
      <w:bookmarkStart w:id="220" w:name="_Toc4167"/>
      <w:bookmarkStart w:id="221" w:name="_Toc509218726"/>
      <w:bookmarkStart w:id="222" w:name="_Toc430530451"/>
      <w:r>
        <w:rPr>
          <w:rFonts w:hint="eastAsia" w:ascii="宋体" w:hAnsi="宋体" w:cs="宋体"/>
          <w:b w:val="0"/>
          <w:bCs/>
          <w:snapToGrid w:val="0"/>
          <w:color w:val="auto"/>
          <w:sz w:val="24"/>
          <w:szCs w:val="24"/>
          <w:highlight w:val="none"/>
        </w:rPr>
        <w:t>2.2  招标文件的澄清</w:t>
      </w:r>
      <w:bookmarkEnd w:id="220"/>
      <w:bookmarkEnd w:id="221"/>
      <w:bookmarkEnd w:id="222"/>
    </w:p>
    <w:p w14:paraId="7F033F46">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2.2.1  投标人应仔细阅读和检查招标文件的全部内容。如发现缺页或附件不全，应及时向招标人提出，以便补齐。如有疑问，应按投标人须知前附表规定的时间和形式提出问题，要求招标人对招标文件予以澄清。</w:t>
      </w:r>
    </w:p>
    <w:p w14:paraId="7F033F47">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2.2.2  招标文件的澄清按投标人须知前附表规定的时间和形式发给所有潜在投标人，但不指明澄清问题的来源。澄清发出的时间距本章第4.2.1项规定的投标截止时间不足15日的，并且澄清内容可能影响投标文件编制的，将相应延长投标截止时间。</w:t>
      </w:r>
    </w:p>
    <w:p w14:paraId="7F033F48">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2.2.3  </w:t>
      </w:r>
      <w:r>
        <w:rPr>
          <w:rFonts w:hint="eastAsia" w:ascii="宋体" w:hAnsi="宋体" w:cs="宋体"/>
          <w:b w:val="0"/>
          <w:bCs/>
          <w:color w:val="auto"/>
          <w:kern w:val="0"/>
          <w:szCs w:val="21"/>
          <w:highlight w:val="none"/>
        </w:rPr>
        <w:t>投标人在收到澄清后，应向招标人确认已收到该澄清。招标人采用网络媒介公开发布澄清的，无论投标人是否查看，均视为所有潜在投标人清楚知晓澄清全部内容。投标人应在投标截止时间前密切关注澄清发布媒介发出的相关内容。</w:t>
      </w:r>
    </w:p>
    <w:p w14:paraId="7F033F49">
      <w:pPr>
        <w:autoSpaceDE w:val="0"/>
        <w:autoSpaceDN w:val="0"/>
        <w:adjustRightInd w:val="0"/>
        <w:snapToGrid w:val="0"/>
        <w:spacing w:line="360" w:lineRule="auto"/>
        <w:ind w:firstLine="420" w:firstLineChars="200"/>
        <w:rPr>
          <w:rFonts w:hint="eastAsia" w:ascii="宋体" w:hAnsi="宋体" w:cs="宋体"/>
          <w:b w:val="0"/>
          <w:bCs/>
          <w:snapToGrid w:val="0"/>
          <w:color w:val="auto"/>
          <w:kern w:val="0"/>
          <w:position w:val="-2"/>
          <w:szCs w:val="21"/>
          <w:highlight w:val="none"/>
        </w:rPr>
      </w:pPr>
      <w:r>
        <w:rPr>
          <w:rFonts w:hint="eastAsia" w:ascii="宋体" w:hAnsi="宋体" w:cs="宋体"/>
          <w:b w:val="0"/>
          <w:bCs/>
          <w:snapToGrid w:val="0"/>
          <w:color w:val="auto"/>
          <w:kern w:val="0"/>
          <w:position w:val="-2"/>
          <w:szCs w:val="21"/>
          <w:highlight w:val="none"/>
        </w:rPr>
        <w:t>2.2.4  除非招标人认为确有必要答复，否则，招标人有权拒绝回复投标人在本章第2.2.1项规定的时间后的任何澄清要求。</w:t>
      </w:r>
    </w:p>
    <w:p w14:paraId="7F033F4A">
      <w:pPr>
        <w:pStyle w:val="5"/>
        <w:snapToGrid w:val="0"/>
        <w:spacing w:before="0" w:after="0" w:line="360" w:lineRule="auto"/>
        <w:rPr>
          <w:rFonts w:hint="eastAsia" w:ascii="宋体" w:hAnsi="宋体" w:cs="宋体"/>
          <w:b w:val="0"/>
          <w:bCs/>
          <w:snapToGrid w:val="0"/>
          <w:color w:val="auto"/>
          <w:sz w:val="24"/>
          <w:szCs w:val="24"/>
          <w:highlight w:val="none"/>
        </w:rPr>
      </w:pPr>
      <w:bookmarkStart w:id="223" w:name="_Toc430530452"/>
      <w:bookmarkStart w:id="224" w:name="_Toc509218727"/>
      <w:bookmarkStart w:id="225" w:name="_Toc287607763"/>
      <w:bookmarkStart w:id="226" w:name="_Toc287620702"/>
      <w:bookmarkStart w:id="227" w:name="_Toc277082569"/>
      <w:bookmarkStart w:id="228" w:name="_Toc200513143"/>
      <w:bookmarkStart w:id="229" w:name="_Toc224103334"/>
      <w:bookmarkStart w:id="230" w:name="_Toc10752"/>
      <w:r>
        <w:rPr>
          <w:rFonts w:hint="eastAsia" w:ascii="宋体" w:hAnsi="宋体" w:cs="宋体"/>
          <w:b w:val="0"/>
          <w:bCs/>
          <w:snapToGrid w:val="0"/>
          <w:color w:val="auto"/>
          <w:sz w:val="24"/>
          <w:szCs w:val="24"/>
          <w:highlight w:val="none"/>
        </w:rPr>
        <w:t>2.3  招标文件的修改</w:t>
      </w:r>
      <w:bookmarkEnd w:id="223"/>
      <w:bookmarkEnd w:id="224"/>
      <w:bookmarkEnd w:id="225"/>
      <w:bookmarkEnd w:id="226"/>
      <w:bookmarkEnd w:id="227"/>
      <w:bookmarkEnd w:id="228"/>
      <w:bookmarkEnd w:id="229"/>
      <w:bookmarkEnd w:id="230"/>
    </w:p>
    <w:p w14:paraId="7F033F4B">
      <w:pPr>
        <w:autoSpaceDE w:val="0"/>
        <w:autoSpaceDN w:val="0"/>
        <w:adjustRightInd w:val="0"/>
        <w:snapToGrid w:val="0"/>
        <w:spacing w:line="360" w:lineRule="auto"/>
        <w:ind w:firstLine="420"/>
        <w:rPr>
          <w:rFonts w:hint="eastAsia" w:ascii="宋体" w:hAnsi="宋体" w:cs="宋体"/>
          <w:b w:val="0"/>
          <w:bCs/>
          <w:snapToGrid w:val="0"/>
          <w:color w:val="auto"/>
          <w:highlight w:val="none"/>
        </w:rPr>
      </w:pPr>
      <w:bookmarkStart w:id="231" w:name="_Toc224103335"/>
      <w:bookmarkStart w:id="232" w:name="_Toc277082570"/>
      <w:bookmarkStart w:id="233" w:name="_Toc200513144"/>
      <w:bookmarkStart w:id="234" w:name="_Toc287620703"/>
      <w:bookmarkStart w:id="235" w:name="_Toc287607764"/>
      <w:r>
        <w:rPr>
          <w:rFonts w:hint="eastAsia" w:ascii="宋体" w:hAnsi="宋体" w:cs="宋体"/>
          <w:b w:val="0"/>
          <w:bCs/>
          <w:snapToGrid w:val="0"/>
          <w:color w:val="auto"/>
          <w:highlight w:val="none"/>
        </w:rPr>
        <w:t>2.3.1  招标文件的修改按投标人须知前附表规定的时间和形式发给所有潜在投标人。修改招标文件的时间距本章第4.2.1项规定的投标截止时间不足15日的，并且修改内容可能影响投标文件编制的，将相应延长投标截止时间。</w:t>
      </w:r>
    </w:p>
    <w:p w14:paraId="7F033F4C">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2.3.2  投标人在收到修改内容后，应向招标人确认已收到该修改内容。招标人采用网络媒介公开发布修改内容的，无论投标人是否查看，均视为所有潜在投标人清楚知晓修改全部内容。投标人应在投标截止时间前密切关注修改发布媒介发出的相关内容。</w:t>
      </w:r>
    </w:p>
    <w:p w14:paraId="7F033F4D">
      <w:pPr>
        <w:pStyle w:val="5"/>
        <w:snapToGrid w:val="0"/>
        <w:spacing w:before="0" w:after="0" w:line="360" w:lineRule="auto"/>
        <w:rPr>
          <w:rFonts w:hint="eastAsia" w:ascii="宋体" w:hAnsi="宋体" w:cs="宋体"/>
          <w:b w:val="0"/>
          <w:bCs/>
          <w:snapToGrid w:val="0"/>
          <w:color w:val="auto"/>
          <w:sz w:val="24"/>
          <w:szCs w:val="24"/>
          <w:highlight w:val="none"/>
        </w:rPr>
      </w:pPr>
      <w:bookmarkStart w:id="236" w:name="_Toc25331"/>
      <w:r>
        <w:rPr>
          <w:rFonts w:hint="eastAsia" w:ascii="宋体" w:hAnsi="宋体" w:cs="宋体"/>
          <w:b w:val="0"/>
          <w:bCs/>
          <w:snapToGrid w:val="0"/>
          <w:color w:val="auto"/>
          <w:sz w:val="24"/>
          <w:szCs w:val="24"/>
          <w:highlight w:val="none"/>
        </w:rPr>
        <w:t>2.4  招标文件的异议</w:t>
      </w:r>
      <w:bookmarkEnd w:id="236"/>
    </w:p>
    <w:p w14:paraId="7F033F4E">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投标人或者其他利害关系人对招标文件及澄清修改有异议的，应当在投标截止时间10日前按投标人须知前附表规定的形式提出。招标人应当自收到异议之日起 3 日内作出答复。作出答复前，将暂停招标投标活动。</w:t>
      </w:r>
    </w:p>
    <w:p w14:paraId="7F033F4F">
      <w:pPr>
        <w:pStyle w:val="4"/>
        <w:spacing w:before="0" w:after="0" w:line="360" w:lineRule="auto"/>
        <w:rPr>
          <w:rFonts w:hint="eastAsia" w:ascii="宋体" w:hAnsi="宋体" w:cs="宋体"/>
          <w:b w:val="0"/>
          <w:bCs/>
          <w:snapToGrid w:val="0"/>
          <w:color w:val="auto"/>
          <w:highlight w:val="none"/>
        </w:rPr>
      </w:pPr>
      <w:bookmarkStart w:id="237" w:name="_Toc1586"/>
      <w:bookmarkStart w:id="238" w:name="_Toc509218728"/>
      <w:bookmarkStart w:id="239" w:name="_Toc430530453"/>
      <w:r>
        <w:rPr>
          <w:rFonts w:hint="eastAsia" w:ascii="宋体" w:hAnsi="宋体" w:cs="宋体"/>
          <w:b w:val="0"/>
          <w:bCs/>
          <w:snapToGrid w:val="0"/>
          <w:color w:val="auto"/>
          <w:highlight w:val="none"/>
        </w:rPr>
        <w:t>3.  投标文件</w:t>
      </w:r>
      <w:bookmarkEnd w:id="231"/>
      <w:bookmarkEnd w:id="232"/>
      <w:bookmarkEnd w:id="233"/>
      <w:bookmarkEnd w:id="234"/>
      <w:bookmarkEnd w:id="235"/>
      <w:bookmarkEnd w:id="237"/>
      <w:bookmarkEnd w:id="238"/>
      <w:bookmarkEnd w:id="239"/>
    </w:p>
    <w:p w14:paraId="7F033F50">
      <w:pPr>
        <w:pStyle w:val="5"/>
        <w:snapToGrid w:val="0"/>
        <w:spacing w:before="0" w:after="0" w:line="360" w:lineRule="auto"/>
        <w:rPr>
          <w:rFonts w:hint="eastAsia" w:ascii="宋体" w:hAnsi="宋体" w:cs="宋体"/>
          <w:b w:val="0"/>
          <w:bCs/>
          <w:snapToGrid w:val="0"/>
          <w:color w:val="auto"/>
          <w:sz w:val="24"/>
          <w:szCs w:val="24"/>
          <w:highlight w:val="none"/>
        </w:rPr>
      </w:pPr>
      <w:bookmarkStart w:id="240" w:name="_Toc509218729"/>
      <w:bookmarkStart w:id="241" w:name="_Toc287607765"/>
      <w:bookmarkStart w:id="242" w:name="_Toc430530454"/>
      <w:bookmarkStart w:id="243" w:name="_Toc287620704"/>
      <w:bookmarkStart w:id="244" w:name="_Toc224103336"/>
      <w:bookmarkStart w:id="245" w:name="_Toc200513145"/>
      <w:bookmarkStart w:id="246" w:name="_Toc20701"/>
      <w:bookmarkStart w:id="247" w:name="_Toc277082571"/>
      <w:r>
        <w:rPr>
          <w:rFonts w:hint="eastAsia" w:ascii="宋体" w:hAnsi="宋体" w:cs="宋体"/>
          <w:b w:val="0"/>
          <w:bCs/>
          <w:snapToGrid w:val="0"/>
          <w:color w:val="auto"/>
          <w:sz w:val="24"/>
          <w:szCs w:val="24"/>
          <w:highlight w:val="none"/>
        </w:rPr>
        <w:t>3.1  投标文件的组成</w:t>
      </w:r>
      <w:bookmarkEnd w:id="240"/>
      <w:bookmarkEnd w:id="241"/>
      <w:bookmarkEnd w:id="242"/>
      <w:bookmarkEnd w:id="243"/>
      <w:bookmarkEnd w:id="244"/>
      <w:bookmarkEnd w:id="245"/>
      <w:bookmarkEnd w:id="246"/>
      <w:bookmarkEnd w:id="247"/>
    </w:p>
    <w:p w14:paraId="7F033F51">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3.1.1 投标文件应包括下列内容：</w:t>
      </w:r>
    </w:p>
    <w:p w14:paraId="7F033F52">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3.1.1.1投标函部分</w:t>
      </w:r>
    </w:p>
    <w:p w14:paraId="7F033F53">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（1）投标函；</w:t>
      </w:r>
    </w:p>
    <w:p w14:paraId="7F033F54">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（2）分项报价表（如有）；</w:t>
      </w:r>
    </w:p>
    <w:p w14:paraId="7F033F55">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（3）投标报价合理性说明（如有）；</w:t>
      </w:r>
    </w:p>
    <w:p w14:paraId="7F033F56">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（4）法定代表人身份证明或授权委托书。</w:t>
      </w:r>
    </w:p>
    <w:p w14:paraId="7F033F57">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3.1.1.2商务部分（如有）</w:t>
      </w:r>
    </w:p>
    <w:p w14:paraId="7F033F58">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（1）供货要求负偏差表（如有）；</w:t>
      </w:r>
    </w:p>
    <w:p w14:paraId="7F033F59">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（2）其他资料（如有）。</w:t>
      </w:r>
    </w:p>
    <w:p w14:paraId="7F033F5A">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3.1.1.3技术部分（如有）</w:t>
      </w:r>
    </w:p>
    <w:p w14:paraId="7F033F5B">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3.1.1.4资格审查部分</w:t>
      </w:r>
    </w:p>
    <w:p w14:paraId="7F033F5C">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（1）法定代表人身份证明或授权委托书；</w:t>
      </w:r>
    </w:p>
    <w:p w14:paraId="7F033F5D">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（2）制造商资格声明</w:t>
      </w:r>
      <w:r>
        <w:rPr>
          <w:rFonts w:hint="eastAsia" w:ascii="宋体" w:hAnsi="宋体" w:cs="宋体"/>
          <w:b w:val="0"/>
          <w:bCs/>
          <w:color w:val="auto"/>
          <w:szCs w:val="21"/>
          <w:highlight w:val="none"/>
        </w:rPr>
        <w:t>（制造商投标时提供）</w:t>
      </w:r>
      <w:r>
        <w:rPr>
          <w:rFonts w:hint="eastAsia" w:ascii="宋体" w:hAnsi="宋体" w:cs="宋体"/>
          <w:b w:val="0"/>
          <w:bCs/>
          <w:snapToGrid w:val="0"/>
          <w:color w:val="auto"/>
          <w:highlight w:val="none"/>
        </w:rPr>
        <w:t>或</w:t>
      </w:r>
      <w:r>
        <w:rPr>
          <w:rFonts w:hint="eastAsia" w:ascii="宋体" w:hAnsi="宋体" w:cs="宋体"/>
          <w:b w:val="0"/>
          <w:bCs/>
          <w:color w:val="auto"/>
          <w:szCs w:val="21"/>
          <w:highlight w:val="none"/>
        </w:rPr>
        <w:t>制造商授权书（代理商投标时提供）；</w:t>
      </w:r>
    </w:p>
    <w:p w14:paraId="7F033F5E">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（3）承诺；</w:t>
      </w:r>
    </w:p>
    <w:p w14:paraId="7F033F5F">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（4）其他资料。</w:t>
      </w:r>
    </w:p>
    <w:p w14:paraId="7F033F60">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投标人在评标过程中作出的符合法律法规和招标文件规定的澄清确认，构成投标文件的组成部分。</w:t>
      </w:r>
    </w:p>
    <w:p w14:paraId="7F033F61">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3.1.2  投标人须知前附表规定不接受联合体投标的，或投标人没有组成联合体的，投标文件不包括共同投标协议。</w:t>
      </w:r>
    </w:p>
    <w:p w14:paraId="7F033F62">
      <w:pPr>
        <w:autoSpaceDE w:val="0"/>
        <w:autoSpaceDN w:val="0"/>
        <w:adjustRightInd w:val="0"/>
        <w:snapToGrid w:val="0"/>
        <w:spacing w:line="360" w:lineRule="auto"/>
        <w:ind w:firstLine="420"/>
        <w:rPr>
          <w:rFonts w:ascii="宋体" w:hAnsi="宋体" w:cs="宋体"/>
          <w:b w:val="0"/>
          <w:bCs/>
          <w:color w:val="auto"/>
          <w:highlight w:val="none"/>
        </w:rPr>
      </w:pPr>
      <w:r>
        <w:rPr>
          <w:rFonts w:hint="eastAsia" w:ascii="宋体" w:hAnsi="宋体" w:cs="宋体"/>
          <w:b w:val="0"/>
          <w:bCs/>
          <w:snapToGrid w:val="0"/>
          <w:color w:val="auto"/>
          <w:highlight w:val="none"/>
        </w:rPr>
        <w:t xml:space="preserve">3.1.3  </w:t>
      </w:r>
      <w:r>
        <w:rPr>
          <w:rFonts w:hint="eastAsia" w:ascii="宋体" w:hAnsi="宋体" w:cs="宋体"/>
          <w:b w:val="0"/>
          <w:bCs/>
          <w:color w:val="auto"/>
          <w:spacing w:val="-3"/>
          <w:highlight w:val="none"/>
        </w:rPr>
        <w:t>投标人须知前附表未要求提交投标保证金的，投标文件不包括投标保证金。</w:t>
      </w:r>
    </w:p>
    <w:p w14:paraId="7F033F63">
      <w:pPr>
        <w:pStyle w:val="5"/>
        <w:snapToGrid w:val="0"/>
        <w:spacing w:before="0" w:after="0" w:line="360" w:lineRule="auto"/>
        <w:rPr>
          <w:rFonts w:hint="eastAsia" w:ascii="宋体" w:hAnsi="宋体" w:cs="宋体"/>
          <w:b w:val="0"/>
          <w:bCs/>
          <w:snapToGrid w:val="0"/>
          <w:color w:val="auto"/>
          <w:sz w:val="24"/>
          <w:szCs w:val="24"/>
          <w:highlight w:val="none"/>
        </w:rPr>
      </w:pPr>
      <w:bookmarkStart w:id="248" w:name="_Toc14228"/>
      <w:bookmarkStart w:id="249" w:name="_Toc277082572"/>
      <w:bookmarkStart w:id="250" w:name="_Toc430530455"/>
      <w:bookmarkStart w:id="251" w:name="_Toc509218730"/>
      <w:bookmarkStart w:id="252" w:name="_Toc200513146"/>
      <w:bookmarkStart w:id="253" w:name="_Toc287607766"/>
      <w:bookmarkStart w:id="254" w:name="_Toc287620705"/>
      <w:bookmarkStart w:id="255" w:name="_Toc224103337"/>
      <w:r>
        <w:rPr>
          <w:rFonts w:hint="eastAsia" w:ascii="宋体" w:hAnsi="宋体" w:cs="宋体"/>
          <w:b w:val="0"/>
          <w:bCs/>
          <w:snapToGrid w:val="0"/>
          <w:color w:val="auto"/>
          <w:sz w:val="24"/>
          <w:szCs w:val="24"/>
          <w:highlight w:val="none"/>
        </w:rPr>
        <w:t>3.2  投标报价</w:t>
      </w:r>
      <w:bookmarkEnd w:id="248"/>
      <w:bookmarkEnd w:id="249"/>
      <w:bookmarkEnd w:id="250"/>
      <w:bookmarkEnd w:id="251"/>
      <w:bookmarkEnd w:id="252"/>
      <w:bookmarkEnd w:id="253"/>
      <w:bookmarkEnd w:id="254"/>
      <w:bookmarkEnd w:id="255"/>
    </w:p>
    <w:p w14:paraId="7F033F6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3.2.1  投标报价应包括国家规定的增值税税金，除投标人须知前附表另有规定外，增值税税金按一般计税方法计算。投标人应按第六章“投标文件格式”的要求在投标函中进行报价</w:t>
      </w:r>
      <w:r>
        <w:rPr>
          <w:rFonts w:hint="eastAsia" w:ascii="宋体" w:hAnsi="宋体" w:cs="宋体"/>
          <w:b w:val="0"/>
          <w:bCs/>
          <w:color w:val="auto"/>
          <w:spacing w:val="-7"/>
          <w:highlight w:val="none"/>
        </w:rPr>
        <w:t>并填写</w:t>
      </w:r>
      <w:r>
        <w:rPr>
          <w:rFonts w:hint="eastAsia" w:ascii="宋体" w:hAnsi="宋体" w:cs="宋体"/>
          <w:b w:val="0"/>
          <w:bCs/>
          <w:color w:val="auto"/>
          <w:spacing w:val="-5"/>
          <w:highlight w:val="none"/>
        </w:rPr>
        <w:t>分项报价表。</w:t>
      </w:r>
    </w:p>
    <w:p w14:paraId="7F033F6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3.2.2  投标人应充分了解该项目的总体情况以及影响投标报价的其他要素。</w:t>
      </w:r>
    </w:p>
    <w:p w14:paraId="7F033F6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3.2.3  </w:t>
      </w:r>
      <w:r>
        <w:rPr>
          <w:rFonts w:hint="eastAsia" w:ascii="宋体" w:hAnsi="宋体" w:cs="宋体"/>
          <w:b w:val="0"/>
          <w:bCs/>
          <w:color w:val="auto"/>
          <w:spacing w:val="-8"/>
          <w:highlight w:val="none"/>
        </w:rPr>
        <w:t>投标报价为各分项报价金额之和；如分项报价中存在缺漏项，则视为缺漏项价格已包含在其他</w:t>
      </w:r>
      <w:r>
        <w:rPr>
          <w:rFonts w:hint="eastAsia" w:ascii="宋体" w:hAnsi="宋体" w:cs="宋体"/>
          <w:b w:val="0"/>
          <w:bCs/>
          <w:color w:val="auto"/>
          <w:spacing w:val="-3"/>
          <w:highlight w:val="none"/>
        </w:rPr>
        <w:t>分项报价之中。投标人在投标截止时间前修改投标函中的投标报价总额，应同时修改投标文件</w:t>
      </w:r>
      <w:r>
        <w:rPr>
          <w:rFonts w:hint="eastAsia" w:ascii="宋体" w:hAnsi="宋体" w:cs="宋体"/>
          <w:b w:val="0"/>
          <w:bCs/>
          <w:snapToGrid w:val="0"/>
          <w:color w:val="auto"/>
          <w:kern w:val="0"/>
          <w:szCs w:val="21"/>
          <w:highlight w:val="none"/>
        </w:rPr>
        <w:t>“</w:t>
      </w:r>
      <w:r>
        <w:rPr>
          <w:rFonts w:hint="eastAsia" w:ascii="宋体" w:hAnsi="宋体" w:cs="宋体"/>
          <w:b w:val="0"/>
          <w:bCs/>
          <w:color w:val="auto"/>
          <w:highlight w:val="none"/>
        </w:rPr>
        <w:t>分项报价表</w:t>
      </w:r>
      <w:r>
        <w:rPr>
          <w:rFonts w:hint="eastAsia" w:ascii="宋体" w:hAnsi="宋体" w:cs="宋体"/>
          <w:b w:val="0"/>
          <w:bCs/>
          <w:snapToGrid w:val="0"/>
          <w:color w:val="auto"/>
          <w:kern w:val="0"/>
          <w:szCs w:val="21"/>
          <w:highlight w:val="none"/>
        </w:rPr>
        <w:t>”</w:t>
      </w:r>
      <w:r>
        <w:rPr>
          <w:rFonts w:hint="eastAsia" w:ascii="宋体" w:hAnsi="宋体" w:cs="宋体"/>
          <w:b w:val="0"/>
          <w:bCs/>
          <w:color w:val="auto"/>
          <w:highlight w:val="none"/>
        </w:rPr>
        <w:t>中的相应报价</w:t>
      </w:r>
      <w:r>
        <w:rPr>
          <w:rFonts w:hint="eastAsia" w:ascii="宋体" w:hAnsi="宋体" w:cs="宋体"/>
          <w:b w:val="0"/>
          <w:bCs/>
          <w:snapToGrid w:val="0"/>
          <w:color w:val="auto"/>
          <w:kern w:val="0"/>
          <w:szCs w:val="21"/>
          <w:highlight w:val="none"/>
        </w:rPr>
        <w:t>。此修改须符合本章第 4.3 款的有关要求。</w:t>
      </w:r>
    </w:p>
    <w:p w14:paraId="7F033F6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3.2.4  招标人设有最高投标限价的，投标人的投标报价不得超过最高投标限价，最高投标限价在投标人须知前附表中载明。</w:t>
      </w:r>
    </w:p>
    <w:p w14:paraId="7F033F68">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snapToGrid w:val="0"/>
          <w:color w:val="auto"/>
          <w:kern w:val="0"/>
          <w:szCs w:val="21"/>
          <w:highlight w:val="none"/>
        </w:rPr>
        <w:t>3.2.5  投标报价的其他要求见投标人须知前附表。</w:t>
      </w:r>
    </w:p>
    <w:p w14:paraId="7F033F69">
      <w:pPr>
        <w:pStyle w:val="5"/>
        <w:snapToGrid w:val="0"/>
        <w:spacing w:before="0" w:after="0" w:line="360" w:lineRule="auto"/>
        <w:rPr>
          <w:rFonts w:hint="eastAsia" w:ascii="宋体" w:hAnsi="宋体" w:cs="宋体"/>
          <w:b w:val="0"/>
          <w:bCs/>
          <w:snapToGrid w:val="0"/>
          <w:color w:val="auto"/>
          <w:sz w:val="24"/>
          <w:szCs w:val="24"/>
          <w:highlight w:val="none"/>
        </w:rPr>
      </w:pPr>
      <w:bookmarkStart w:id="256" w:name="_Toc287607767"/>
      <w:bookmarkStart w:id="257" w:name="_Toc287620706"/>
      <w:bookmarkStart w:id="258" w:name="_Toc17273"/>
      <w:bookmarkStart w:id="259" w:name="_Toc509218731"/>
      <w:bookmarkStart w:id="260" w:name="_Toc430530456"/>
      <w:bookmarkStart w:id="261" w:name="_Toc200513147"/>
      <w:bookmarkStart w:id="262" w:name="_Toc277082573"/>
      <w:bookmarkStart w:id="263" w:name="_Toc224103338"/>
      <w:r>
        <w:rPr>
          <w:rFonts w:hint="eastAsia" w:ascii="宋体" w:hAnsi="宋体" w:cs="宋体"/>
          <w:b w:val="0"/>
          <w:bCs/>
          <w:snapToGrid w:val="0"/>
          <w:color w:val="auto"/>
          <w:sz w:val="24"/>
          <w:szCs w:val="24"/>
          <w:highlight w:val="none"/>
        </w:rPr>
        <w:t>3.3  投标有效期</w:t>
      </w:r>
      <w:bookmarkEnd w:id="256"/>
      <w:bookmarkEnd w:id="257"/>
      <w:bookmarkEnd w:id="258"/>
      <w:bookmarkEnd w:id="259"/>
      <w:bookmarkEnd w:id="260"/>
      <w:bookmarkEnd w:id="261"/>
      <w:bookmarkEnd w:id="262"/>
      <w:bookmarkEnd w:id="263"/>
    </w:p>
    <w:p w14:paraId="7F033F6A">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3.3.1  除投标人须知前附表另有规定外，投标有效期为 90 天。</w:t>
      </w:r>
    </w:p>
    <w:p w14:paraId="7F033F6B">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snapToGrid w:val="0"/>
          <w:color w:val="auto"/>
          <w:kern w:val="0"/>
          <w:szCs w:val="21"/>
          <w:highlight w:val="none"/>
        </w:rPr>
        <w:t>3.3.2  在投标有效期内，投标人撤销投标文件的，应承担招标文件和法律规定的责任。</w:t>
      </w:r>
    </w:p>
    <w:p w14:paraId="7F033F6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3.3.3  出现特殊情况需要延长投标有效期的，招标人以书面形式通知所有投标人延长投标有效期。</w:t>
      </w:r>
      <w:r>
        <w:rPr>
          <w:rFonts w:hint="eastAsia" w:ascii="宋体" w:hAnsi="宋体" w:cs="宋体"/>
          <w:b w:val="0"/>
          <w:bCs/>
          <w:color w:val="auto"/>
          <w:spacing w:val="-8"/>
          <w:highlight w:val="none"/>
        </w:rPr>
        <w:t>投标人应予以书面答复，</w:t>
      </w:r>
      <w:r>
        <w:rPr>
          <w:rFonts w:hint="eastAsia" w:ascii="宋体" w:hAnsi="宋体" w:cs="宋体"/>
          <w:b w:val="0"/>
          <w:bCs/>
          <w:snapToGrid w:val="0"/>
          <w:color w:val="auto"/>
          <w:kern w:val="0"/>
          <w:szCs w:val="21"/>
          <w:highlight w:val="none"/>
        </w:rPr>
        <w:t>同意延长的，应相应延长其投标保函的有效期，但不得要求或被允许修改或撤销其投标文件；投标人拒绝延长的，其投标失效，但投标人有权收回其投标保函。（适用于投标保证金采用投标保函形式的）</w:t>
      </w:r>
    </w:p>
    <w:p w14:paraId="7F033F6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出现特殊情况需要延长投标有效期的，招标人以书面形式通知所有投标人延长投标有效期。</w:t>
      </w:r>
      <w:r>
        <w:rPr>
          <w:rFonts w:hint="eastAsia" w:ascii="宋体" w:hAnsi="宋体" w:cs="宋体"/>
          <w:b w:val="0"/>
          <w:bCs/>
          <w:color w:val="auto"/>
          <w:spacing w:val="-8"/>
          <w:highlight w:val="none"/>
        </w:rPr>
        <w:t>投标人应予以书面答复，</w:t>
      </w:r>
      <w:r>
        <w:rPr>
          <w:rFonts w:hint="eastAsia" w:ascii="宋体" w:hAnsi="宋体" w:cs="宋体"/>
          <w:b w:val="0"/>
          <w:bCs/>
          <w:snapToGrid w:val="0"/>
          <w:color w:val="auto"/>
          <w:kern w:val="0"/>
          <w:szCs w:val="21"/>
          <w:highlight w:val="none"/>
        </w:rPr>
        <w:t>同意延长的，应相应延长其投标保证金的有效期，但不得要求或被允许修改或撤销其投标文件；投标人拒绝延长的，其投标失效，但投标人有权收回其投标保证金及</w:t>
      </w:r>
      <w:r>
        <w:rPr>
          <w:rFonts w:hint="eastAsia" w:ascii="宋体" w:hAnsi="宋体" w:cs="宋体"/>
          <w:b w:val="0"/>
          <w:bCs/>
          <w:color w:val="auto"/>
          <w:spacing w:val="-3"/>
          <w:highlight w:val="none"/>
        </w:rPr>
        <w:t>银行同期存款利息</w:t>
      </w:r>
      <w:r>
        <w:rPr>
          <w:rFonts w:hint="eastAsia" w:ascii="宋体" w:hAnsi="宋体" w:cs="宋体"/>
          <w:b w:val="0"/>
          <w:bCs/>
          <w:snapToGrid w:val="0"/>
          <w:color w:val="auto"/>
          <w:kern w:val="0"/>
          <w:szCs w:val="21"/>
          <w:highlight w:val="none"/>
        </w:rPr>
        <w:t>。（适用于投标保证金采用银行转账形式的）</w:t>
      </w:r>
    </w:p>
    <w:p w14:paraId="7F033F6E">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264" w:name="_Toc277082574"/>
      <w:bookmarkStart w:id="265" w:name="_Toc200513148"/>
      <w:bookmarkStart w:id="266" w:name="_Toc287607768"/>
      <w:bookmarkStart w:id="267" w:name="_Toc430530457"/>
      <w:bookmarkStart w:id="268" w:name="_Toc509218732"/>
      <w:bookmarkStart w:id="269" w:name="_Toc224103339"/>
      <w:bookmarkStart w:id="270" w:name="_Toc287620707"/>
      <w:bookmarkStart w:id="271" w:name="_Toc25371"/>
      <w:r>
        <w:rPr>
          <w:rFonts w:hint="eastAsia" w:ascii="宋体" w:hAnsi="宋体" w:cs="宋体"/>
          <w:b w:val="0"/>
          <w:bCs/>
          <w:snapToGrid w:val="0"/>
          <w:color w:val="auto"/>
          <w:sz w:val="24"/>
          <w:szCs w:val="24"/>
          <w:highlight w:val="none"/>
        </w:rPr>
        <w:t>3.4  投标</w:t>
      </w:r>
      <w:bookmarkEnd w:id="264"/>
      <w:bookmarkEnd w:id="265"/>
      <w:bookmarkEnd w:id="266"/>
      <w:bookmarkEnd w:id="267"/>
      <w:bookmarkEnd w:id="268"/>
      <w:bookmarkEnd w:id="269"/>
      <w:bookmarkEnd w:id="270"/>
      <w:r>
        <w:rPr>
          <w:rFonts w:hint="eastAsia" w:ascii="宋体" w:hAnsi="宋体" w:cs="宋体"/>
          <w:b w:val="0"/>
          <w:bCs/>
          <w:snapToGrid w:val="0"/>
          <w:color w:val="auto"/>
          <w:sz w:val="24"/>
          <w:szCs w:val="24"/>
          <w:highlight w:val="none"/>
        </w:rPr>
        <w:t>保证金</w:t>
      </w:r>
      <w:bookmarkEnd w:id="271"/>
    </w:p>
    <w:p w14:paraId="7F033F6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3.4.1  投标人在递交投标文件的同时，应按投标人须知前附表的规定递交投标保证金，并作为其投标文件的组成部分。联合体投标的，其投标保证金由牵头人递交，并应符合投标人须知前附表的规定。</w:t>
      </w:r>
    </w:p>
    <w:p w14:paraId="7F033F70">
      <w:pPr>
        <w:autoSpaceDE w:val="0"/>
        <w:autoSpaceDN w:val="0"/>
        <w:adjustRightInd w:val="0"/>
        <w:snapToGrid w:val="0"/>
        <w:spacing w:line="360" w:lineRule="auto"/>
        <w:ind w:left="13" w:leftChars="6" w:firstLine="405" w:firstLineChars="193"/>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3.4.2  投标人不按本章第3.4.1项要求提交投标保证金的，</w:t>
      </w:r>
      <w:r>
        <w:rPr>
          <w:rFonts w:hint="eastAsia" w:ascii="宋体" w:hAnsi="宋体" w:cs="宋体"/>
          <w:b w:val="0"/>
          <w:bCs/>
          <w:color w:val="auto"/>
          <w:spacing w:val="-3"/>
          <w:highlight w:val="none"/>
        </w:rPr>
        <w:t>评标委员会将否决其投标</w:t>
      </w:r>
      <w:r>
        <w:rPr>
          <w:rFonts w:hint="eastAsia" w:ascii="宋体" w:hAnsi="宋体" w:cs="宋体"/>
          <w:b w:val="0"/>
          <w:bCs/>
          <w:snapToGrid w:val="0"/>
          <w:color w:val="auto"/>
          <w:kern w:val="0"/>
          <w:szCs w:val="21"/>
          <w:highlight w:val="none"/>
        </w:rPr>
        <w:t>。</w:t>
      </w:r>
    </w:p>
    <w:p w14:paraId="7F033F71">
      <w:pPr>
        <w:autoSpaceDE w:val="0"/>
        <w:autoSpaceDN w:val="0"/>
        <w:adjustRightInd w:val="0"/>
        <w:snapToGrid w:val="0"/>
        <w:spacing w:line="360" w:lineRule="auto"/>
        <w:ind w:left="13" w:leftChars="6" w:firstLine="405" w:firstLineChars="193"/>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3.4.3  投标保证金（投标保函）退还：见投标人须知前附表。</w:t>
      </w:r>
    </w:p>
    <w:p w14:paraId="7F033F72">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3.4.4  有下列情形之一的，投标保证金以现金形式交纳的不予退还，以保函形式交纳的由保函开立人支付保函担保的与投标保证金等额的款项：</w:t>
      </w:r>
    </w:p>
    <w:p w14:paraId="7F033F7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（1）投标人在规定的投标有效期内撤销或修改投标文件；</w:t>
      </w:r>
    </w:p>
    <w:p w14:paraId="7F033F7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（2）中标人在收到中标通知书后，无正当理由不与招标人订立合同，在签订合同时向招标人提出附加条件，或者不按照招标文件要求提交履约保证金；</w:t>
      </w:r>
    </w:p>
    <w:p w14:paraId="7F033F7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kern w:val="0"/>
          <w:szCs w:val="21"/>
          <w:highlight w:val="none"/>
        </w:rPr>
        <w:t>（3）违反本章第9.2款对投标人的纪律要求的；</w:t>
      </w:r>
    </w:p>
    <w:p w14:paraId="7F033F7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w:t>
      </w:r>
      <w:r>
        <w:rPr>
          <w:rFonts w:hint="eastAsia" w:ascii="宋体" w:hAnsi="宋体" w:cs="宋体"/>
          <w:b w:val="0"/>
          <w:bCs/>
          <w:color w:val="auto"/>
          <w:kern w:val="0"/>
          <w:szCs w:val="21"/>
          <w:highlight w:val="none"/>
        </w:rPr>
        <w:t>法律法规规定的其他情形。</w:t>
      </w:r>
    </w:p>
    <w:p w14:paraId="7F033F77">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272" w:name="_Toc277082575"/>
      <w:bookmarkStart w:id="273" w:name="_Toc509218733"/>
      <w:bookmarkStart w:id="274" w:name="_Toc430530458"/>
      <w:bookmarkStart w:id="275" w:name="_Toc28658"/>
      <w:bookmarkStart w:id="276" w:name="_Toc287620708"/>
      <w:bookmarkStart w:id="277" w:name="_Toc224103340"/>
      <w:bookmarkStart w:id="278" w:name="_Toc287607769"/>
      <w:bookmarkStart w:id="279" w:name="_Toc200513149"/>
      <w:r>
        <w:rPr>
          <w:rFonts w:hint="eastAsia" w:ascii="宋体" w:hAnsi="宋体" w:cs="宋体"/>
          <w:b w:val="0"/>
          <w:bCs/>
          <w:snapToGrid w:val="0"/>
          <w:color w:val="auto"/>
          <w:sz w:val="24"/>
          <w:szCs w:val="24"/>
          <w:highlight w:val="none"/>
        </w:rPr>
        <w:t>3.5  资格审查资料</w:t>
      </w:r>
      <w:bookmarkEnd w:id="272"/>
      <w:bookmarkEnd w:id="273"/>
      <w:bookmarkEnd w:id="274"/>
      <w:bookmarkEnd w:id="275"/>
      <w:bookmarkEnd w:id="276"/>
      <w:bookmarkEnd w:id="277"/>
      <w:bookmarkEnd w:id="278"/>
      <w:bookmarkEnd w:id="279"/>
    </w:p>
    <w:p w14:paraId="7F033F78">
      <w:pPr>
        <w:autoSpaceDE w:val="0"/>
        <w:autoSpaceDN w:val="0"/>
        <w:adjustRightInd w:val="0"/>
        <w:snapToGrid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投标人应附</w:t>
      </w:r>
      <w:r>
        <w:rPr>
          <w:rFonts w:hint="eastAsia" w:ascii="宋体" w:hAnsi="宋体" w:cs="宋体"/>
          <w:b w:val="0"/>
          <w:bCs/>
          <w:color w:val="auto"/>
          <w:kern w:val="0"/>
          <w:szCs w:val="21"/>
          <w:highlight w:val="none"/>
        </w:rPr>
        <w:t>投标人须知前附表第1.4.1项中要求的相关证明材料</w:t>
      </w:r>
      <w:r>
        <w:rPr>
          <w:rFonts w:hint="eastAsia" w:ascii="宋体" w:hAnsi="宋体" w:cs="宋体"/>
          <w:b w:val="0"/>
          <w:bCs/>
          <w:color w:val="auto"/>
          <w:szCs w:val="21"/>
          <w:highlight w:val="none"/>
        </w:rPr>
        <w:t>。</w:t>
      </w:r>
    </w:p>
    <w:p w14:paraId="7F033F79">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投标人须知前附表规定接受联合体投标的，详见投标人须知前附表联合体投标相关内容。</w:t>
      </w:r>
    </w:p>
    <w:p w14:paraId="7F033F7A">
      <w:pPr>
        <w:pStyle w:val="5"/>
        <w:snapToGrid w:val="0"/>
        <w:spacing w:before="0" w:after="0" w:line="360" w:lineRule="auto"/>
        <w:rPr>
          <w:rFonts w:hint="eastAsia" w:ascii="宋体" w:hAnsi="宋体" w:cs="宋体"/>
          <w:b w:val="0"/>
          <w:bCs/>
          <w:snapToGrid w:val="0"/>
          <w:color w:val="auto"/>
          <w:sz w:val="24"/>
          <w:szCs w:val="24"/>
          <w:highlight w:val="none"/>
        </w:rPr>
      </w:pPr>
      <w:bookmarkStart w:id="280" w:name="_Toc509218735"/>
      <w:bookmarkStart w:id="281" w:name="_Toc9516"/>
      <w:bookmarkStart w:id="282" w:name="_Toc287607771"/>
      <w:bookmarkStart w:id="283" w:name="_Toc277082577"/>
      <w:bookmarkStart w:id="284" w:name="_Toc287620710"/>
      <w:bookmarkStart w:id="285" w:name="_Toc224103342"/>
      <w:bookmarkStart w:id="286" w:name="_Toc430530460"/>
      <w:bookmarkStart w:id="287" w:name="_Toc200513151"/>
      <w:r>
        <w:rPr>
          <w:rFonts w:hint="eastAsia" w:ascii="宋体" w:hAnsi="宋体" w:cs="宋体"/>
          <w:b w:val="0"/>
          <w:bCs/>
          <w:snapToGrid w:val="0"/>
          <w:color w:val="auto"/>
          <w:sz w:val="24"/>
          <w:szCs w:val="24"/>
          <w:highlight w:val="none"/>
        </w:rPr>
        <w:t>3.6  备选投标方案</w:t>
      </w:r>
      <w:bookmarkEnd w:id="280"/>
      <w:bookmarkEnd w:id="281"/>
      <w:bookmarkEnd w:id="282"/>
      <w:bookmarkEnd w:id="283"/>
      <w:bookmarkEnd w:id="284"/>
      <w:bookmarkEnd w:id="285"/>
      <w:bookmarkEnd w:id="286"/>
      <w:bookmarkEnd w:id="287"/>
    </w:p>
    <w:p w14:paraId="7F033F7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3.6.1  除投标人须知前附表规定允许外，投标人不得递交备选投标方案，否则其投标将被否决。</w:t>
      </w:r>
    </w:p>
    <w:p w14:paraId="7F033F7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7F033F7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3.6.3  投标人提供两个或两个以上投标报价，或者在投标文件中提供一个报价，但同时提供两个或两个以上供货方案的，视为提供备选方案。</w:t>
      </w:r>
    </w:p>
    <w:p w14:paraId="7F033F7E">
      <w:pPr>
        <w:pStyle w:val="5"/>
        <w:snapToGrid w:val="0"/>
        <w:spacing w:before="0" w:after="0" w:line="360" w:lineRule="auto"/>
        <w:rPr>
          <w:rFonts w:hint="eastAsia" w:ascii="宋体" w:hAnsi="宋体" w:cs="宋体"/>
          <w:b w:val="0"/>
          <w:bCs/>
          <w:snapToGrid w:val="0"/>
          <w:color w:val="auto"/>
          <w:sz w:val="24"/>
          <w:szCs w:val="24"/>
          <w:highlight w:val="none"/>
        </w:rPr>
      </w:pPr>
      <w:bookmarkStart w:id="288" w:name="_Toc21872"/>
      <w:bookmarkStart w:id="289" w:name="_Toc287607772"/>
      <w:bookmarkStart w:id="290" w:name="_Toc277082578"/>
      <w:bookmarkStart w:id="291" w:name="_Toc287620711"/>
      <w:bookmarkStart w:id="292" w:name="_Toc200513152"/>
      <w:bookmarkStart w:id="293" w:name="_Toc509218736"/>
      <w:bookmarkStart w:id="294" w:name="_Toc224103343"/>
      <w:bookmarkStart w:id="295" w:name="_Toc430530461"/>
      <w:r>
        <w:rPr>
          <w:rFonts w:hint="eastAsia" w:ascii="宋体" w:hAnsi="宋体" w:cs="宋体"/>
          <w:b w:val="0"/>
          <w:bCs/>
          <w:snapToGrid w:val="0"/>
          <w:color w:val="auto"/>
          <w:sz w:val="24"/>
          <w:szCs w:val="24"/>
          <w:highlight w:val="none"/>
        </w:rPr>
        <w:t>3.7  投标文件的编制</w:t>
      </w:r>
      <w:bookmarkEnd w:id="288"/>
      <w:bookmarkEnd w:id="289"/>
      <w:bookmarkEnd w:id="290"/>
      <w:bookmarkEnd w:id="291"/>
      <w:bookmarkEnd w:id="292"/>
      <w:bookmarkEnd w:id="293"/>
      <w:bookmarkEnd w:id="294"/>
      <w:bookmarkEnd w:id="295"/>
    </w:p>
    <w:p w14:paraId="7F033F7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3.7.1  投标文件应按第六章“投标文件格式”进行编写，如有必要，可以增加附页，作为投标文件的组成部分。</w:t>
      </w:r>
    </w:p>
    <w:p w14:paraId="7F033F8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3.7.2  </w:t>
      </w:r>
      <w:r>
        <w:rPr>
          <w:rFonts w:hint="eastAsia" w:ascii="宋体" w:hAnsi="宋体" w:cs="宋体"/>
          <w:b w:val="0"/>
          <w:bCs/>
          <w:color w:val="auto"/>
          <w:spacing w:val="-7"/>
          <w:highlight w:val="none"/>
        </w:rPr>
        <w:t>投标文件应当对招标文件有关供货期、投标有效期、供货要求、招标范围等实质性内容作出响应。投标文件在满足招标文件实质性要求的基础上，可以提出比招标文件要求更有利</w:t>
      </w:r>
      <w:r>
        <w:rPr>
          <w:rFonts w:hint="eastAsia" w:ascii="宋体" w:hAnsi="宋体" w:cs="宋体"/>
          <w:b w:val="0"/>
          <w:bCs/>
          <w:color w:val="auto"/>
          <w:spacing w:val="-5"/>
          <w:highlight w:val="none"/>
        </w:rPr>
        <w:t>于招标人的承诺。</w:t>
      </w:r>
    </w:p>
    <w:p w14:paraId="7F033F8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position w:val="-2"/>
          <w:szCs w:val="21"/>
          <w:highlight w:val="none"/>
        </w:rPr>
        <w:t>3.7.3  投标文件的签名盖章要求：按本章投标人须知前附表第3.7.3项执行。</w:t>
      </w:r>
    </w:p>
    <w:p w14:paraId="7F033F82">
      <w:pPr>
        <w:autoSpaceDE w:val="0"/>
        <w:autoSpaceDN w:val="0"/>
        <w:adjustRightInd w:val="0"/>
        <w:snapToGrid w:val="0"/>
        <w:spacing w:line="360" w:lineRule="auto"/>
        <w:ind w:right="-109"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3.7.4  投标文件的份数：见投标人须知前附表，《供货方案》不分正副本。正本和副本的封面上应清楚地标记“正本”或“副本”的字样，正本和副本封面均须加盖单位法人章。当副本和正本不一致时，以正本为准。</w:t>
      </w:r>
    </w:p>
    <w:p w14:paraId="7F033F83">
      <w:pPr>
        <w:autoSpaceDE w:val="0"/>
        <w:autoSpaceDN w:val="0"/>
        <w:adjustRightInd w:val="0"/>
        <w:snapToGrid w:val="0"/>
        <w:spacing w:line="360" w:lineRule="auto"/>
        <w:ind w:right="-109"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3.7.5  投标文件应按规定格式排版，并编制目录，具体编制要求按投标人须知前附表第3.7.5项执行。</w:t>
      </w:r>
    </w:p>
    <w:p w14:paraId="7F033F84">
      <w:pPr>
        <w:pStyle w:val="4"/>
        <w:keepNext w:val="0"/>
        <w:keepLines w:val="0"/>
        <w:spacing w:before="0" w:after="0" w:line="360" w:lineRule="auto"/>
        <w:rPr>
          <w:rFonts w:hint="eastAsia" w:ascii="宋体" w:hAnsi="宋体" w:cs="宋体"/>
          <w:b w:val="0"/>
          <w:bCs/>
          <w:snapToGrid w:val="0"/>
          <w:color w:val="auto"/>
          <w:highlight w:val="none"/>
        </w:rPr>
      </w:pPr>
      <w:bookmarkStart w:id="296" w:name="_Toc287607773"/>
      <w:bookmarkStart w:id="297" w:name="_Toc509218737"/>
      <w:bookmarkStart w:id="298" w:name="_Toc287620712"/>
      <w:bookmarkStart w:id="299" w:name="_Toc27451"/>
      <w:bookmarkStart w:id="300" w:name="_Toc430530462"/>
      <w:bookmarkStart w:id="301" w:name="_Toc200513153"/>
      <w:bookmarkStart w:id="302" w:name="_Toc277082579"/>
      <w:bookmarkStart w:id="303" w:name="_Toc224103344"/>
      <w:r>
        <w:rPr>
          <w:rFonts w:hint="eastAsia" w:ascii="宋体" w:hAnsi="宋体" w:cs="宋体"/>
          <w:b w:val="0"/>
          <w:bCs/>
          <w:snapToGrid w:val="0"/>
          <w:color w:val="auto"/>
          <w:highlight w:val="none"/>
        </w:rPr>
        <w:t>4.  投标</w:t>
      </w:r>
      <w:bookmarkEnd w:id="296"/>
      <w:bookmarkEnd w:id="297"/>
      <w:bookmarkEnd w:id="298"/>
      <w:bookmarkEnd w:id="299"/>
      <w:bookmarkEnd w:id="300"/>
      <w:bookmarkEnd w:id="301"/>
      <w:bookmarkEnd w:id="302"/>
      <w:bookmarkEnd w:id="303"/>
    </w:p>
    <w:p w14:paraId="7F033F85">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04" w:name="_Toc200513154"/>
      <w:bookmarkStart w:id="305" w:name="_Toc430530463"/>
      <w:bookmarkStart w:id="306" w:name="_Toc12995"/>
      <w:bookmarkStart w:id="307" w:name="_Toc287607774"/>
      <w:bookmarkStart w:id="308" w:name="_Toc224103345"/>
      <w:bookmarkStart w:id="309" w:name="_Toc509218738"/>
      <w:bookmarkStart w:id="310" w:name="_Toc287620713"/>
      <w:bookmarkStart w:id="311" w:name="_Toc277082580"/>
      <w:r>
        <w:rPr>
          <w:rFonts w:hint="eastAsia" w:ascii="宋体" w:hAnsi="宋体" w:cs="宋体"/>
          <w:b w:val="0"/>
          <w:bCs/>
          <w:snapToGrid w:val="0"/>
          <w:color w:val="auto"/>
          <w:sz w:val="24"/>
          <w:szCs w:val="24"/>
          <w:highlight w:val="none"/>
        </w:rPr>
        <w:t>4.1  投标文件的密封和标记</w:t>
      </w:r>
      <w:bookmarkEnd w:id="304"/>
      <w:bookmarkEnd w:id="305"/>
      <w:bookmarkEnd w:id="306"/>
      <w:bookmarkEnd w:id="307"/>
      <w:bookmarkEnd w:id="308"/>
      <w:bookmarkEnd w:id="309"/>
      <w:bookmarkEnd w:id="310"/>
      <w:bookmarkEnd w:id="311"/>
    </w:p>
    <w:p w14:paraId="7F033F8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bookmarkStart w:id="312" w:name="_Toc200513155"/>
      <w:r>
        <w:rPr>
          <w:rFonts w:hint="eastAsia" w:ascii="宋体" w:hAnsi="宋体" w:cs="宋体"/>
          <w:b w:val="0"/>
          <w:bCs/>
          <w:snapToGrid w:val="0"/>
          <w:color w:val="auto"/>
          <w:kern w:val="0"/>
          <w:szCs w:val="21"/>
          <w:highlight w:val="none"/>
        </w:rPr>
        <w:t>4.1.1  投标文件的密封：见投标人须知前附表。</w:t>
      </w:r>
    </w:p>
    <w:p w14:paraId="7F033F87">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4.1.2  投标文件封套上应载明的信息：见投标人须知前附表。</w:t>
      </w:r>
    </w:p>
    <w:p w14:paraId="7F033F88">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13" w:name="_Toc277082581"/>
      <w:bookmarkStart w:id="314" w:name="_Toc509218739"/>
      <w:bookmarkStart w:id="315" w:name="_Toc287607775"/>
      <w:bookmarkStart w:id="316" w:name="_Toc430530464"/>
      <w:bookmarkStart w:id="317" w:name="_Toc287620714"/>
      <w:bookmarkStart w:id="318" w:name="_Toc224103346"/>
      <w:bookmarkStart w:id="319" w:name="_Toc2911"/>
      <w:r>
        <w:rPr>
          <w:rFonts w:hint="eastAsia" w:ascii="宋体" w:hAnsi="宋体" w:cs="宋体"/>
          <w:b w:val="0"/>
          <w:bCs/>
          <w:snapToGrid w:val="0"/>
          <w:color w:val="auto"/>
          <w:sz w:val="24"/>
          <w:szCs w:val="24"/>
          <w:highlight w:val="none"/>
        </w:rPr>
        <w:t>4.2  投标文件的递交</w:t>
      </w:r>
      <w:bookmarkEnd w:id="312"/>
      <w:bookmarkEnd w:id="313"/>
      <w:bookmarkEnd w:id="314"/>
      <w:bookmarkEnd w:id="315"/>
      <w:bookmarkEnd w:id="316"/>
      <w:bookmarkEnd w:id="317"/>
      <w:bookmarkEnd w:id="318"/>
      <w:bookmarkEnd w:id="319"/>
    </w:p>
    <w:p w14:paraId="7F033F89">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4.2.1  投标人应在投标人须知前附表第4.2.1项规定的投标截止时间前递交投标文件。</w:t>
      </w:r>
    </w:p>
    <w:p w14:paraId="7F033F8A">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4.2.2  投标人递交投标文件的地点：见投标人须知前附表。</w:t>
      </w:r>
    </w:p>
    <w:p w14:paraId="7F033F8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4.2.3  除投标人须知前附表另有规定外，投标人所递交的投标文件不予退还。</w:t>
      </w:r>
    </w:p>
    <w:p w14:paraId="7F033F8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bookmarkStart w:id="320" w:name="_Toc287620715"/>
      <w:bookmarkStart w:id="321" w:name="_Toc509218740"/>
      <w:bookmarkStart w:id="322" w:name="_Toc430530465"/>
      <w:bookmarkStart w:id="323" w:name="_Toc224103347"/>
      <w:bookmarkStart w:id="324" w:name="_Toc277082582"/>
      <w:bookmarkStart w:id="325" w:name="_Toc287607776"/>
      <w:bookmarkStart w:id="326" w:name="_Toc200513156"/>
      <w:r>
        <w:rPr>
          <w:rFonts w:hint="eastAsia" w:ascii="宋体" w:hAnsi="宋体" w:cs="宋体"/>
          <w:b w:val="0"/>
          <w:bCs/>
          <w:snapToGrid w:val="0"/>
          <w:color w:val="auto"/>
          <w:kern w:val="0"/>
          <w:szCs w:val="21"/>
          <w:highlight w:val="none"/>
        </w:rPr>
        <w:t>4.2.4  招标人收到投标文件后，向投标人出具签收凭证。</w:t>
      </w:r>
    </w:p>
    <w:p w14:paraId="7F033F8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4.2.5  逾期送达的或者未送达指定地点的投标文件，招标人不予受理。</w:t>
      </w:r>
    </w:p>
    <w:p w14:paraId="7F033F8E">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27" w:name="_Toc22051"/>
      <w:r>
        <w:rPr>
          <w:rFonts w:hint="eastAsia" w:ascii="宋体" w:hAnsi="宋体" w:cs="宋体"/>
          <w:b w:val="0"/>
          <w:bCs/>
          <w:snapToGrid w:val="0"/>
          <w:color w:val="auto"/>
          <w:sz w:val="24"/>
          <w:szCs w:val="24"/>
          <w:highlight w:val="none"/>
        </w:rPr>
        <w:t>4.3  投标文件的修改与撤回</w:t>
      </w:r>
      <w:bookmarkEnd w:id="320"/>
      <w:bookmarkEnd w:id="321"/>
      <w:bookmarkEnd w:id="322"/>
      <w:bookmarkEnd w:id="323"/>
      <w:bookmarkEnd w:id="324"/>
      <w:bookmarkEnd w:id="325"/>
      <w:bookmarkEnd w:id="326"/>
      <w:bookmarkEnd w:id="327"/>
    </w:p>
    <w:p w14:paraId="7F033F8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bookmarkStart w:id="328" w:name="_Toc287620716"/>
      <w:bookmarkStart w:id="329" w:name="_Toc430530466"/>
      <w:bookmarkStart w:id="330" w:name="_Toc287607777"/>
      <w:bookmarkStart w:id="331" w:name="_Toc277082583"/>
      <w:bookmarkStart w:id="332" w:name="_Toc224103348"/>
      <w:bookmarkStart w:id="333" w:name="_Toc509218741"/>
      <w:bookmarkStart w:id="334" w:name="_Toc200513157"/>
      <w:r>
        <w:rPr>
          <w:rFonts w:hint="eastAsia" w:ascii="宋体" w:hAnsi="宋体" w:cs="宋体"/>
          <w:b w:val="0"/>
          <w:bCs/>
          <w:snapToGrid w:val="0"/>
          <w:color w:val="auto"/>
          <w:kern w:val="0"/>
          <w:szCs w:val="21"/>
          <w:highlight w:val="none"/>
        </w:rPr>
        <w:t>4.3.1  在投标人须知前附表第2.2.2项规定的投标截止时间前，投标人可以修改或撤回已递交的投标文件，但应以书面形式通知招标人。</w:t>
      </w:r>
    </w:p>
    <w:p w14:paraId="7F033F9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4.3.2  投标人修改或撤回已递交投标文件的书面通知应按照本章第3.7.3项的要求签名或盖章。招标人收到书面通知后，向投标人出具签收凭证。</w:t>
      </w:r>
    </w:p>
    <w:p w14:paraId="7F033F9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4.3.3  修改的内容为投标文件的组成部分。修改的投标文件应按照本章第3条、第4条规定进行编制、密封、标记和递交，并标明“修改”字样。</w:t>
      </w:r>
    </w:p>
    <w:p w14:paraId="7F033F92">
      <w:pPr>
        <w:pStyle w:val="4"/>
        <w:keepNext w:val="0"/>
        <w:keepLines w:val="0"/>
        <w:spacing w:before="0" w:after="0" w:line="360" w:lineRule="auto"/>
        <w:rPr>
          <w:rFonts w:hint="eastAsia" w:ascii="宋体" w:hAnsi="宋体" w:cs="宋体"/>
          <w:b w:val="0"/>
          <w:bCs/>
          <w:snapToGrid w:val="0"/>
          <w:color w:val="auto"/>
          <w:highlight w:val="none"/>
        </w:rPr>
      </w:pPr>
      <w:bookmarkStart w:id="335" w:name="_Toc4479"/>
      <w:r>
        <w:rPr>
          <w:rFonts w:hint="eastAsia" w:ascii="宋体" w:hAnsi="宋体" w:cs="宋体"/>
          <w:b w:val="0"/>
          <w:bCs/>
          <w:snapToGrid w:val="0"/>
          <w:color w:val="auto"/>
          <w:highlight w:val="none"/>
        </w:rPr>
        <w:t>5.  开标</w:t>
      </w:r>
      <w:bookmarkEnd w:id="328"/>
      <w:bookmarkEnd w:id="329"/>
      <w:bookmarkEnd w:id="330"/>
      <w:bookmarkEnd w:id="331"/>
      <w:bookmarkEnd w:id="332"/>
      <w:bookmarkEnd w:id="333"/>
      <w:bookmarkEnd w:id="334"/>
      <w:bookmarkEnd w:id="335"/>
    </w:p>
    <w:p w14:paraId="7F033F93">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36" w:name="_Toc224103349"/>
      <w:bookmarkStart w:id="337" w:name="_Toc287607778"/>
      <w:bookmarkStart w:id="338" w:name="_Toc430530467"/>
      <w:bookmarkStart w:id="339" w:name="_Toc200513158"/>
      <w:bookmarkStart w:id="340" w:name="_Toc287620717"/>
      <w:bookmarkStart w:id="341" w:name="_Toc277082584"/>
      <w:bookmarkStart w:id="342" w:name="_Toc509218742"/>
      <w:bookmarkStart w:id="343" w:name="_Toc33"/>
      <w:r>
        <w:rPr>
          <w:rFonts w:hint="eastAsia" w:ascii="宋体" w:hAnsi="宋体" w:cs="宋体"/>
          <w:b w:val="0"/>
          <w:bCs/>
          <w:snapToGrid w:val="0"/>
          <w:color w:val="auto"/>
          <w:sz w:val="24"/>
          <w:szCs w:val="24"/>
          <w:highlight w:val="none"/>
        </w:rPr>
        <w:t>5.1  开标时间和地点</w:t>
      </w:r>
      <w:bookmarkEnd w:id="336"/>
      <w:bookmarkEnd w:id="337"/>
      <w:bookmarkEnd w:id="338"/>
      <w:bookmarkEnd w:id="339"/>
      <w:bookmarkEnd w:id="340"/>
      <w:bookmarkEnd w:id="341"/>
      <w:bookmarkEnd w:id="342"/>
      <w:bookmarkEnd w:id="343"/>
    </w:p>
    <w:p w14:paraId="7F033F9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5.1.1  招标人在投标人须知前附表第4.2.1项规定的投标截止时间（开标时间）和投标人须知前附表规定的地点公开开标，并邀请所有投标人的法定代表人</w:t>
      </w:r>
      <w:r>
        <w:rPr>
          <w:rFonts w:hint="eastAsia" w:ascii="宋体" w:hAnsi="宋体" w:cs="宋体"/>
          <w:b w:val="0"/>
          <w:bCs/>
          <w:color w:val="auto"/>
          <w:spacing w:val="-3"/>
          <w:highlight w:val="none"/>
        </w:rPr>
        <w:t>（单位负责人</w:t>
      </w:r>
      <w:r>
        <w:rPr>
          <w:rFonts w:hint="eastAsia" w:ascii="宋体" w:hAnsi="宋体" w:cs="宋体"/>
          <w:b w:val="0"/>
          <w:bCs/>
          <w:color w:val="auto"/>
          <w:highlight w:val="none"/>
        </w:rPr>
        <w:t>）</w:t>
      </w:r>
      <w:r>
        <w:rPr>
          <w:rFonts w:hint="eastAsia" w:ascii="宋体" w:hAnsi="宋体" w:cs="宋体"/>
          <w:b w:val="0"/>
          <w:bCs/>
          <w:snapToGrid w:val="0"/>
          <w:color w:val="auto"/>
          <w:kern w:val="0"/>
          <w:szCs w:val="21"/>
          <w:highlight w:val="none"/>
        </w:rPr>
        <w:t>或其委托代理人准时参加。</w:t>
      </w:r>
    </w:p>
    <w:p w14:paraId="7F033F95">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44" w:name="_Toc277082585"/>
      <w:bookmarkStart w:id="345" w:name="_Toc287620718"/>
      <w:bookmarkStart w:id="346" w:name="_Toc430530468"/>
      <w:bookmarkStart w:id="347" w:name="_Toc509218743"/>
      <w:bookmarkStart w:id="348" w:name="_Toc287607779"/>
      <w:bookmarkStart w:id="349" w:name="_Toc224103350"/>
      <w:bookmarkStart w:id="350" w:name="_Toc14092"/>
      <w:bookmarkStart w:id="351" w:name="_Toc200513159"/>
      <w:r>
        <w:rPr>
          <w:rFonts w:hint="eastAsia" w:ascii="宋体" w:hAnsi="宋体" w:cs="宋体"/>
          <w:b w:val="0"/>
          <w:bCs/>
          <w:snapToGrid w:val="0"/>
          <w:color w:val="auto"/>
          <w:sz w:val="24"/>
          <w:szCs w:val="24"/>
          <w:highlight w:val="none"/>
        </w:rPr>
        <w:t>5.2  开标程序</w:t>
      </w:r>
      <w:bookmarkEnd w:id="344"/>
      <w:bookmarkEnd w:id="345"/>
      <w:bookmarkEnd w:id="346"/>
      <w:bookmarkEnd w:id="347"/>
      <w:bookmarkEnd w:id="348"/>
      <w:bookmarkEnd w:id="349"/>
      <w:bookmarkEnd w:id="350"/>
      <w:bookmarkEnd w:id="351"/>
    </w:p>
    <w:p w14:paraId="7F033F96">
      <w:pPr>
        <w:autoSpaceDE w:val="0"/>
        <w:autoSpaceDN w:val="0"/>
        <w:adjustRightInd w:val="0"/>
        <w:snapToGrid w:val="0"/>
        <w:spacing w:line="360" w:lineRule="auto"/>
        <w:ind w:firstLine="420" w:firstLineChars="200"/>
        <w:rPr>
          <w:rFonts w:hint="eastAsia" w:ascii="宋体" w:hAnsi="宋体" w:cs="宋体"/>
          <w:b w:val="0"/>
          <w:bCs/>
          <w:color w:val="auto"/>
          <w:szCs w:val="21"/>
          <w:highlight w:val="none"/>
        </w:rPr>
      </w:pPr>
      <w:bookmarkStart w:id="352" w:name="_Toc287607780"/>
      <w:bookmarkStart w:id="353" w:name="_Toc224103351"/>
      <w:bookmarkStart w:id="354" w:name="_Toc287620719"/>
      <w:bookmarkStart w:id="355" w:name="_Toc200513160"/>
      <w:bookmarkStart w:id="356" w:name="_Toc277082586"/>
      <w:r>
        <w:rPr>
          <w:rFonts w:hint="eastAsia" w:ascii="宋体" w:hAnsi="宋体" w:cs="宋体"/>
          <w:b w:val="0"/>
          <w:bCs/>
          <w:color w:val="auto"/>
          <w:szCs w:val="21"/>
          <w:highlight w:val="none"/>
        </w:rPr>
        <w:t>详见投标人须知前附表第5.2款开标程序。</w:t>
      </w:r>
    </w:p>
    <w:p w14:paraId="7F033F97">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57" w:name="_Toc6916"/>
      <w:r>
        <w:rPr>
          <w:rFonts w:hint="eastAsia" w:ascii="宋体" w:hAnsi="宋体" w:cs="宋体"/>
          <w:b w:val="0"/>
          <w:bCs/>
          <w:snapToGrid w:val="0"/>
          <w:color w:val="auto"/>
          <w:sz w:val="24"/>
          <w:szCs w:val="24"/>
          <w:highlight w:val="none"/>
        </w:rPr>
        <w:t>5.3  开标异议</w:t>
      </w:r>
      <w:bookmarkEnd w:id="357"/>
    </w:p>
    <w:p w14:paraId="7F033F98">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bookmarkStart w:id="358" w:name="_Toc509218744"/>
      <w:bookmarkStart w:id="359" w:name="_Toc430530469"/>
      <w:r>
        <w:rPr>
          <w:rFonts w:hint="eastAsia" w:ascii="宋体" w:hAnsi="宋体" w:cs="宋体"/>
          <w:b w:val="0"/>
          <w:bCs/>
          <w:snapToGrid w:val="0"/>
          <w:color w:val="auto"/>
          <w:kern w:val="0"/>
          <w:szCs w:val="21"/>
          <w:highlight w:val="none"/>
        </w:rPr>
        <w:t>投标人对开标有异议的，应在开标现场提出，同时应出示法定代表人身份证明或附有法定代表人身份证明的授权委托书。招标人当场作出答复，并制作记录，有异议的投标人代表、招标人代表、主持人、记录人等有关人员在记录上签名确认。</w:t>
      </w:r>
    </w:p>
    <w:p w14:paraId="7F033F99">
      <w:pPr>
        <w:pStyle w:val="4"/>
        <w:keepNext w:val="0"/>
        <w:keepLines w:val="0"/>
        <w:spacing w:before="0" w:after="0" w:line="360" w:lineRule="auto"/>
        <w:rPr>
          <w:rFonts w:hint="eastAsia" w:ascii="宋体" w:hAnsi="宋体" w:cs="宋体"/>
          <w:b w:val="0"/>
          <w:bCs/>
          <w:snapToGrid w:val="0"/>
          <w:color w:val="auto"/>
          <w:highlight w:val="none"/>
        </w:rPr>
      </w:pPr>
      <w:bookmarkStart w:id="360" w:name="_Toc24931"/>
      <w:r>
        <w:rPr>
          <w:rFonts w:hint="eastAsia" w:ascii="宋体" w:hAnsi="宋体" w:cs="宋体"/>
          <w:b w:val="0"/>
          <w:bCs/>
          <w:snapToGrid w:val="0"/>
          <w:color w:val="auto"/>
          <w:highlight w:val="none"/>
        </w:rPr>
        <w:t>6.  评标</w:t>
      </w:r>
      <w:bookmarkEnd w:id="352"/>
      <w:bookmarkEnd w:id="353"/>
      <w:bookmarkEnd w:id="354"/>
      <w:bookmarkEnd w:id="355"/>
      <w:bookmarkEnd w:id="356"/>
      <w:bookmarkEnd w:id="358"/>
      <w:bookmarkEnd w:id="359"/>
      <w:bookmarkEnd w:id="360"/>
    </w:p>
    <w:p w14:paraId="7F033F9A">
      <w:pPr>
        <w:pStyle w:val="5"/>
        <w:keepNext w:val="0"/>
        <w:keepLines w:val="0"/>
        <w:snapToGrid w:val="0"/>
        <w:spacing w:before="0" w:after="0" w:line="360" w:lineRule="auto"/>
        <w:rPr>
          <w:rFonts w:hint="eastAsia" w:ascii="宋体" w:hAnsi="宋体" w:cs="宋体"/>
          <w:b w:val="0"/>
          <w:bCs/>
          <w:snapToGrid w:val="0"/>
          <w:color w:val="auto"/>
          <w:sz w:val="24"/>
          <w:szCs w:val="24"/>
          <w:highlight w:val="none"/>
        </w:rPr>
      </w:pPr>
      <w:bookmarkStart w:id="361" w:name="_Toc277082587"/>
      <w:bookmarkStart w:id="362" w:name="_Toc430530470"/>
      <w:bookmarkStart w:id="363" w:name="_Toc224103352"/>
      <w:bookmarkStart w:id="364" w:name="_Toc287607781"/>
      <w:bookmarkStart w:id="365" w:name="_Toc21027"/>
      <w:bookmarkStart w:id="366" w:name="_Toc200513161"/>
      <w:bookmarkStart w:id="367" w:name="_Toc509218745"/>
      <w:bookmarkStart w:id="368" w:name="_Toc287620720"/>
      <w:r>
        <w:rPr>
          <w:rFonts w:hint="eastAsia" w:ascii="宋体" w:hAnsi="宋体" w:cs="宋体"/>
          <w:b w:val="0"/>
          <w:bCs/>
          <w:snapToGrid w:val="0"/>
          <w:color w:val="auto"/>
          <w:sz w:val="24"/>
          <w:szCs w:val="24"/>
          <w:highlight w:val="none"/>
        </w:rPr>
        <w:t>6.1  评标委员会</w:t>
      </w:r>
      <w:bookmarkEnd w:id="361"/>
      <w:bookmarkEnd w:id="362"/>
      <w:bookmarkEnd w:id="363"/>
      <w:bookmarkEnd w:id="364"/>
      <w:bookmarkEnd w:id="365"/>
      <w:bookmarkEnd w:id="366"/>
      <w:bookmarkEnd w:id="367"/>
      <w:bookmarkEnd w:id="368"/>
    </w:p>
    <w:p w14:paraId="7F033F9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6.1.1  评标由招标人依据法律法规和相关规范性文件组建的评标委员会负责。</w:t>
      </w:r>
    </w:p>
    <w:p w14:paraId="7F033F9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6.1.2  评标委员会成员有下列情形之一的，应当回避：</w:t>
      </w:r>
    </w:p>
    <w:p w14:paraId="7F033F9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（1）投标人或投标人主要负责人的近亲属；</w:t>
      </w:r>
    </w:p>
    <w:p w14:paraId="7F033F9E">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（2）项目主管部门或者项目行政监督部门的人员；</w:t>
      </w:r>
    </w:p>
    <w:p w14:paraId="7F033F9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（3）与投标人有利害关系，可能影响对投标公正评审的；</w:t>
      </w:r>
    </w:p>
    <w:p w14:paraId="7F033FA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（4）曾因在招标、评标以及其他与招标投标有关活动中从事违法行为而受过行政处罚或刑事处罚的；</w:t>
      </w:r>
    </w:p>
    <w:p w14:paraId="7F033FA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（5）法律法规规定的其他情形。</w:t>
      </w:r>
    </w:p>
    <w:p w14:paraId="7F033FA2">
      <w:pPr>
        <w:pStyle w:val="134"/>
        <w:spacing w:before="0" w:after="0" w:line="360" w:lineRule="auto"/>
        <w:ind w:firstLine="420" w:firstLineChars="200"/>
        <w:jc w:val="left"/>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7F033FA3">
      <w:pPr>
        <w:pStyle w:val="5"/>
        <w:snapToGrid w:val="0"/>
        <w:spacing w:before="0" w:after="0" w:line="360" w:lineRule="auto"/>
        <w:rPr>
          <w:rFonts w:hint="eastAsia" w:ascii="宋体" w:hAnsi="宋体" w:cs="宋体"/>
          <w:b w:val="0"/>
          <w:bCs/>
          <w:snapToGrid w:val="0"/>
          <w:color w:val="auto"/>
          <w:sz w:val="24"/>
          <w:szCs w:val="24"/>
          <w:highlight w:val="none"/>
        </w:rPr>
      </w:pPr>
      <w:bookmarkStart w:id="369" w:name="_Toc430530471"/>
      <w:bookmarkStart w:id="370" w:name="_Toc287607782"/>
      <w:bookmarkStart w:id="371" w:name="_Toc277082588"/>
      <w:bookmarkStart w:id="372" w:name="_Toc224103353"/>
      <w:bookmarkStart w:id="373" w:name="_Toc9281"/>
      <w:bookmarkStart w:id="374" w:name="_Toc509218746"/>
      <w:bookmarkStart w:id="375" w:name="_Toc287620721"/>
      <w:bookmarkStart w:id="376" w:name="_Toc200513162"/>
      <w:r>
        <w:rPr>
          <w:rFonts w:hint="eastAsia" w:ascii="宋体" w:hAnsi="宋体" w:cs="宋体"/>
          <w:b w:val="0"/>
          <w:bCs/>
          <w:snapToGrid w:val="0"/>
          <w:color w:val="auto"/>
          <w:sz w:val="24"/>
          <w:szCs w:val="24"/>
          <w:highlight w:val="none"/>
        </w:rPr>
        <w:t>6.2  评标原则</w:t>
      </w:r>
      <w:bookmarkEnd w:id="369"/>
      <w:bookmarkEnd w:id="370"/>
      <w:bookmarkEnd w:id="371"/>
      <w:bookmarkEnd w:id="372"/>
      <w:bookmarkEnd w:id="373"/>
      <w:bookmarkEnd w:id="374"/>
      <w:bookmarkEnd w:id="375"/>
      <w:bookmarkEnd w:id="376"/>
    </w:p>
    <w:p w14:paraId="7F033FA4">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评标活动遵循公平、公正、科学和择优的原则。</w:t>
      </w:r>
    </w:p>
    <w:p w14:paraId="7F033FA5">
      <w:pPr>
        <w:pStyle w:val="5"/>
        <w:snapToGrid w:val="0"/>
        <w:spacing w:before="0" w:after="0" w:line="360" w:lineRule="auto"/>
        <w:rPr>
          <w:rFonts w:hint="eastAsia" w:ascii="宋体" w:hAnsi="宋体" w:cs="宋体"/>
          <w:b w:val="0"/>
          <w:bCs/>
          <w:snapToGrid w:val="0"/>
          <w:color w:val="auto"/>
          <w:sz w:val="24"/>
          <w:szCs w:val="24"/>
          <w:highlight w:val="none"/>
        </w:rPr>
      </w:pPr>
      <w:bookmarkStart w:id="377" w:name="_Toc12539"/>
      <w:bookmarkStart w:id="378" w:name="_Toc430530472"/>
      <w:bookmarkStart w:id="379" w:name="_Toc200513163"/>
      <w:bookmarkStart w:id="380" w:name="_Toc287607783"/>
      <w:bookmarkStart w:id="381" w:name="_Toc509218747"/>
      <w:bookmarkStart w:id="382" w:name="_Toc277082589"/>
      <w:bookmarkStart w:id="383" w:name="_Toc224103354"/>
      <w:bookmarkStart w:id="384" w:name="_Toc287620722"/>
      <w:r>
        <w:rPr>
          <w:rFonts w:hint="eastAsia" w:ascii="宋体" w:hAnsi="宋体" w:cs="宋体"/>
          <w:b w:val="0"/>
          <w:bCs/>
          <w:snapToGrid w:val="0"/>
          <w:color w:val="auto"/>
          <w:sz w:val="24"/>
          <w:szCs w:val="24"/>
          <w:highlight w:val="none"/>
        </w:rPr>
        <w:t>6.3  评标</w:t>
      </w:r>
      <w:bookmarkEnd w:id="377"/>
      <w:bookmarkEnd w:id="378"/>
      <w:bookmarkEnd w:id="379"/>
      <w:bookmarkEnd w:id="380"/>
      <w:bookmarkEnd w:id="381"/>
      <w:bookmarkEnd w:id="382"/>
      <w:bookmarkEnd w:id="383"/>
      <w:bookmarkEnd w:id="384"/>
    </w:p>
    <w:p w14:paraId="7F033FA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6.3.1  评标委员会按照第三章“评标办法”规定的方法、评审因素、标准和程序对投标文件进行评审。第三章“评标办法”没有规定的方法、评审因素和标准，不得作为评标依据。</w:t>
      </w:r>
    </w:p>
    <w:p w14:paraId="7F033FA7">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snapToGrid w:val="0"/>
          <w:color w:val="auto"/>
          <w:kern w:val="0"/>
          <w:szCs w:val="21"/>
          <w:highlight w:val="none"/>
        </w:rPr>
        <w:t xml:space="preserve">6.3.2  </w:t>
      </w:r>
      <w:r>
        <w:rPr>
          <w:rFonts w:hint="eastAsia" w:ascii="宋体" w:hAnsi="宋体" w:cs="宋体"/>
          <w:b w:val="0"/>
          <w:bCs/>
          <w:color w:val="auto"/>
          <w:highlight w:val="none"/>
        </w:rPr>
        <w:t>评标完成后，评标委员会应当向招标人提交书面评标报告和中标候选人名单。评标委员会推荐中标候选人的数量见投标人须知前附表。</w:t>
      </w:r>
    </w:p>
    <w:p w14:paraId="7F033FA8">
      <w:pPr>
        <w:pStyle w:val="4"/>
        <w:spacing w:before="0" w:after="0" w:line="360" w:lineRule="auto"/>
        <w:rPr>
          <w:rFonts w:hint="eastAsia" w:ascii="宋体" w:hAnsi="宋体" w:cs="宋体"/>
          <w:b w:val="0"/>
          <w:bCs/>
          <w:snapToGrid w:val="0"/>
          <w:color w:val="auto"/>
          <w:highlight w:val="none"/>
        </w:rPr>
      </w:pPr>
      <w:bookmarkStart w:id="385" w:name="_Toc287620723"/>
      <w:bookmarkStart w:id="386" w:name="_Toc430530473"/>
      <w:bookmarkStart w:id="387" w:name="_Toc28924"/>
      <w:bookmarkStart w:id="388" w:name="_Toc287607784"/>
      <w:bookmarkStart w:id="389" w:name="_Toc200513164"/>
      <w:bookmarkStart w:id="390" w:name="_Toc224103355"/>
      <w:bookmarkStart w:id="391" w:name="_Toc509218748"/>
      <w:bookmarkStart w:id="392" w:name="_Toc277082590"/>
      <w:r>
        <w:rPr>
          <w:rFonts w:hint="eastAsia" w:ascii="宋体" w:hAnsi="宋体" w:cs="宋体"/>
          <w:b w:val="0"/>
          <w:bCs/>
          <w:snapToGrid w:val="0"/>
          <w:color w:val="auto"/>
          <w:highlight w:val="none"/>
        </w:rPr>
        <w:t>7.  合同授予</w:t>
      </w:r>
      <w:bookmarkEnd w:id="385"/>
      <w:bookmarkEnd w:id="386"/>
      <w:bookmarkEnd w:id="387"/>
      <w:bookmarkEnd w:id="388"/>
      <w:bookmarkEnd w:id="389"/>
      <w:bookmarkEnd w:id="390"/>
      <w:bookmarkEnd w:id="391"/>
      <w:bookmarkEnd w:id="392"/>
    </w:p>
    <w:p w14:paraId="7F033FA9">
      <w:pPr>
        <w:pStyle w:val="5"/>
        <w:snapToGrid w:val="0"/>
        <w:spacing w:before="0" w:after="0" w:line="360" w:lineRule="auto"/>
        <w:rPr>
          <w:rFonts w:hint="eastAsia" w:ascii="宋体" w:hAnsi="宋体" w:cs="宋体"/>
          <w:b w:val="0"/>
          <w:bCs/>
          <w:snapToGrid w:val="0"/>
          <w:color w:val="auto"/>
          <w:sz w:val="24"/>
          <w:szCs w:val="24"/>
          <w:highlight w:val="none"/>
        </w:rPr>
      </w:pPr>
      <w:bookmarkStart w:id="393" w:name="_Toc277082591"/>
      <w:bookmarkStart w:id="394" w:name="_Toc200513165"/>
      <w:bookmarkStart w:id="395" w:name="_Toc509218749"/>
      <w:bookmarkStart w:id="396" w:name="_Toc430530474"/>
      <w:bookmarkStart w:id="397" w:name="_Toc224103356"/>
      <w:bookmarkStart w:id="398" w:name="_Toc287620724"/>
      <w:bookmarkStart w:id="399" w:name="_Toc287607785"/>
      <w:bookmarkStart w:id="400" w:name="_Toc28696"/>
      <w:r>
        <w:rPr>
          <w:rFonts w:hint="eastAsia" w:ascii="宋体" w:hAnsi="宋体" w:cs="宋体"/>
          <w:b w:val="0"/>
          <w:bCs/>
          <w:snapToGrid w:val="0"/>
          <w:color w:val="auto"/>
          <w:sz w:val="24"/>
          <w:szCs w:val="24"/>
          <w:highlight w:val="none"/>
        </w:rPr>
        <w:t xml:space="preserve">7.1  </w:t>
      </w:r>
      <w:bookmarkEnd w:id="393"/>
      <w:bookmarkEnd w:id="394"/>
      <w:bookmarkEnd w:id="395"/>
      <w:bookmarkEnd w:id="396"/>
      <w:bookmarkEnd w:id="397"/>
      <w:bookmarkEnd w:id="398"/>
      <w:bookmarkEnd w:id="399"/>
      <w:r>
        <w:rPr>
          <w:rFonts w:hint="eastAsia" w:ascii="宋体" w:hAnsi="宋体" w:cs="宋体"/>
          <w:b w:val="0"/>
          <w:bCs/>
          <w:snapToGrid w:val="0"/>
          <w:color w:val="auto"/>
          <w:sz w:val="24"/>
          <w:szCs w:val="24"/>
          <w:highlight w:val="none"/>
        </w:rPr>
        <w:t>中标候选人公示</w:t>
      </w:r>
      <w:bookmarkEnd w:id="400"/>
    </w:p>
    <w:p w14:paraId="7F033FAA">
      <w:pPr>
        <w:autoSpaceDE w:val="0"/>
        <w:autoSpaceDN w:val="0"/>
        <w:adjustRightInd w:val="0"/>
        <w:snapToGrid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招标人在收到评标报告之日起3日内，按照投标人须知前附表规定的公示媒介和期限公示中标候选人，公示期不得少于3天。</w:t>
      </w:r>
    </w:p>
    <w:p w14:paraId="7F033FAB">
      <w:pPr>
        <w:pStyle w:val="5"/>
        <w:snapToGrid w:val="0"/>
        <w:spacing w:before="0" w:after="0" w:line="360" w:lineRule="auto"/>
        <w:rPr>
          <w:rFonts w:hint="eastAsia" w:ascii="宋体" w:hAnsi="宋体" w:cs="宋体"/>
          <w:b w:val="0"/>
          <w:bCs/>
          <w:snapToGrid w:val="0"/>
          <w:color w:val="auto"/>
          <w:sz w:val="24"/>
          <w:szCs w:val="24"/>
          <w:highlight w:val="none"/>
        </w:rPr>
      </w:pPr>
      <w:bookmarkStart w:id="401" w:name="_Toc8283"/>
      <w:r>
        <w:rPr>
          <w:rFonts w:hint="eastAsia" w:ascii="宋体" w:hAnsi="宋体" w:cs="宋体"/>
          <w:b w:val="0"/>
          <w:bCs/>
          <w:snapToGrid w:val="0"/>
          <w:color w:val="auto"/>
          <w:sz w:val="24"/>
          <w:szCs w:val="24"/>
          <w:highlight w:val="none"/>
        </w:rPr>
        <w:t>7.2  评标结果异议</w:t>
      </w:r>
      <w:bookmarkEnd w:id="401"/>
    </w:p>
    <w:p w14:paraId="7F033FA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投标人或者其他利害关系人对评标结果有异议的，应当在中标候选人公示期间提出。招标人将在收到异议之日起 3 日内作出答复；作出答复前，将暂停招标投标活动。</w:t>
      </w:r>
    </w:p>
    <w:p w14:paraId="7F033FAD">
      <w:pPr>
        <w:pStyle w:val="5"/>
        <w:snapToGrid w:val="0"/>
        <w:spacing w:before="0" w:after="0" w:line="360" w:lineRule="auto"/>
        <w:rPr>
          <w:rFonts w:hint="eastAsia" w:ascii="宋体" w:hAnsi="宋体" w:cs="宋体"/>
          <w:b w:val="0"/>
          <w:bCs/>
          <w:snapToGrid w:val="0"/>
          <w:color w:val="auto"/>
          <w:sz w:val="24"/>
          <w:szCs w:val="24"/>
          <w:highlight w:val="none"/>
        </w:rPr>
      </w:pPr>
      <w:bookmarkStart w:id="402" w:name="_Toc1534"/>
      <w:r>
        <w:rPr>
          <w:rFonts w:hint="eastAsia" w:ascii="宋体" w:hAnsi="宋体" w:cs="宋体"/>
          <w:b w:val="0"/>
          <w:bCs/>
          <w:snapToGrid w:val="0"/>
          <w:color w:val="auto"/>
          <w:sz w:val="24"/>
          <w:szCs w:val="24"/>
          <w:highlight w:val="none"/>
        </w:rPr>
        <w:t>7.3  中标候选人履约能力审查</w:t>
      </w:r>
      <w:bookmarkEnd w:id="402"/>
    </w:p>
    <w:p w14:paraId="7F033FAE">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7F033FAF">
      <w:pPr>
        <w:pStyle w:val="5"/>
        <w:snapToGrid w:val="0"/>
        <w:spacing w:before="0" w:after="0" w:line="360" w:lineRule="auto"/>
        <w:rPr>
          <w:rFonts w:hint="eastAsia" w:ascii="宋体" w:hAnsi="宋体" w:cs="宋体"/>
          <w:b w:val="0"/>
          <w:bCs/>
          <w:snapToGrid w:val="0"/>
          <w:color w:val="auto"/>
          <w:sz w:val="24"/>
          <w:szCs w:val="24"/>
          <w:highlight w:val="none"/>
        </w:rPr>
      </w:pPr>
      <w:bookmarkStart w:id="403" w:name="_Toc13372"/>
      <w:r>
        <w:rPr>
          <w:rFonts w:hint="eastAsia" w:ascii="宋体" w:hAnsi="宋体" w:cs="宋体"/>
          <w:b w:val="0"/>
          <w:bCs/>
          <w:snapToGrid w:val="0"/>
          <w:color w:val="auto"/>
          <w:sz w:val="24"/>
          <w:szCs w:val="24"/>
          <w:highlight w:val="none"/>
        </w:rPr>
        <w:t>7.4  定标</w:t>
      </w:r>
      <w:bookmarkEnd w:id="403"/>
    </w:p>
    <w:p w14:paraId="7F033FB0">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按照投标人须知前附表的规定，招标人或招标人授权的评标委员会依法确定中标人。</w:t>
      </w:r>
    </w:p>
    <w:p w14:paraId="7F033FB1">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color w:val="auto"/>
          <w:highlight w:val="none"/>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7F033FB2">
      <w:pPr>
        <w:pStyle w:val="5"/>
        <w:snapToGrid w:val="0"/>
        <w:spacing w:before="0" w:after="0" w:line="360" w:lineRule="auto"/>
        <w:rPr>
          <w:rFonts w:hint="eastAsia" w:ascii="宋体" w:hAnsi="宋体" w:cs="宋体"/>
          <w:b w:val="0"/>
          <w:bCs/>
          <w:snapToGrid w:val="0"/>
          <w:color w:val="auto"/>
          <w:sz w:val="24"/>
          <w:szCs w:val="24"/>
          <w:highlight w:val="none"/>
        </w:rPr>
      </w:pPr>
      <w:bookmarkStart w:id="404" w:name="_Toc509218750"/>
      <w:bookmarkStart w:id="405" w:name="_Toc1215"/>
      <w:bookmarkStart w:id="406" w:name="_Toc430530475"/>
      <w:r>
        <w:rPr>
          <w:rFonts w:hint="eastAsia" w:ascii="宋体" w:hAnsi="宋体" w:cs="宋体"/>
          <w:b w:val="0"/>
          <w:bCs/>
          <w:snapToGrid w:val="0"/>
          <w:color w:val="auto"/>
          <w:sz w:val="24"/>
          <w:szCs w:val="24"/>
          <w:highlight w:val="none"/>
        </w:rPr>
        <w:t>7.5  中标通知</w:t>
      </w:r>
      <w:bookmarkEnd w:id="404"/>
      <w:bookmarkEnd w:id="405"/>
      <w:bookmarkEnd w:id="406"/>
    </w:p>
    <w:p w14:paraId="7F033FB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在本章第3.3款规定的投标有效期内，且无异议和投诉，或异议和投诉不成立，招标人以书面形式向中标人发出中标通知书，同时将中标结果通知未中标的投标人。</w:t>
      </w:r>
    </w:p>
    <w:p w14:paraId="7F033FB4">
      <w:pPr>
        <w:pStyle w:val="5"/>
        <w:snapToGrid w:val="0"/>
        <w:spacing w:before="0" w:after="0" w:line="360" w:lineRule="auto"/>
        <w:rPr>
          <w:rFonts w:hint="eastAsia" w:ascii="宋体" w:hAnsi="宋体" w:cs="宋体"/>
          <w:b w:val="0"/>
          <w:bCs/>
          <w:snapToGrid w:val="0"/>
          <w:color w:val="auto"/>
          <w:sz w:val="24"/>
          <w:szCs w:val="24"/>
          <w:highlight w:val="none"/>
        </w:rPr>
      </w:pPr>
      <w:bookmarkStart w:id="407" w:name="_Toc200513167"/>
      <w:bookmarkStart w:id="408" w:name="_Toc277082593"/>
      <w:bookmarkStart w:id="409" w:name="_Toc509218751"/>
      <w:bookmarkStart w:id="410" w:name="_Toc430530476"/>
      <w:bookmarkStart w:id="411" w:name="_Toc287620726"/>
      <w:bookmarkStart w:id="412" w:name="_Toc287607787"/>
      <w:bookmarkStart w:id="413" w:name="_Toc224103358"/>
      <w:bookmarkStart w:id="414" w:name="_Toc22383"/>
      <w:r>
        <w:rPr>
          <w:rFonts w:hint="eastAsia" w:ascii="宋体" w:hAnsi="宋体" w:cs="宋体"/>
          <w:b w:val="0"/>
          <w:bCs/>
          <w:snapToGrid w:val="0"/>
          <w:color w:val="auto"/>
          <w:sz w:val="24"/>
          <w:szCs w:val="24"/>
          <w:highlight w:val="none"/>
        </w:rPr>
        <w:t>7.6  履约</w:t>
      </w:r>
      <w:bookmarkEnd w:id="407"/>
      <w:bookmarkEnd w:id="408"/>
      <w:bookmarkEnd w:id="409"/>
      <w:bookmarkEnd w:id="410"/>
      <w:bookmarkEnd w:id="411"/>
      <w:bookmarkEnd w:id="412"/>
      <w:bookmarkEnd w:id="413"/>
      <w:r>
        <w:rPr>
          <w:rFonts w:hint="eastAsia" w:ascii="宋体" w:hAnsi="宋体" w:cs="宋体"/>
          <w:b w:val="0"/>
          <w:bCs/>
          <w:snapToGrid w:val="0"/>
          <w:color w:val="auto"/>
          <w:sz w:val="24"/>
          <w:szCs w:val="24"/>
          <w:highlight w:val="none"/>
        </w:rPr>
        <w:t>保证金</w:t>
      </w:r>
      <w:bookmarkEnd w:id="414"/>
    </w:p>
    <w:p w14:paraId="7F033FB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7.6.1  在签订合同前，中标人应按投标人须知前附表规定的形式、金额和招标文件第四章“合同条款及格式”规定的或者事先经过招标人认可的履约保证金格式向招标人提交履约保证金。除投标人须知前附表另有规定外，履约保证金为中标合同金额的10%。联合体中标的，</w:t>
      </w:r>
      <w:r>
        <w:rPr>
          <w:rFonts w:hint="eastAsia" w:ascii="宋体" w:hAnsi="宋体" w:cs="宋体"/>
          <w:b w:val="0"/>
          <w:bCs/>
          <w:color w:val="auto"/>
          <w:spacing w:val="-3"/>
          <w:highlight w:val="none"/>
        </w:rPr>
        <w:t>其履约保证金以联合体各方或者联合体中牵头人的名义提交。</w:t>
      </w:r>
    </w:p>
    <w:p w14:paraId="7F033FB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7.6.2  中标人不能按本章第7.6.1项要求提交履约保证金的，视为放弃中标，其投标保证金以现金形式交纳的不予退还，以保函形式交纳的由保函开立人支付保函担保的与投标保证金等额的款项，给招标人造成的损失超过投标保证金数额的，中标人还应当对超过部分予以赔偿。</w:t>
      </w:r>
    </w:p>
    <w:p w14:paraId="7F033FB7">
      <w:pPr>
        <w:pStyle w:val="5"/>
        <w:snapToGrid w:val="0"/>
        <w:spacing w:before="0" w:after="0" w:line="360" w:lineRule="auto"/>
        <w:rPr>
          <w:rFonts w:hint="eastAsia" w:ascii="宋体" w:hAnsi="宋体" w:cs="宋体"/>
          <w:b w:val="0"/>
          <w:bCs/>
          <w:snapToGrid w:val="0"/>
          <w:color w:val="auto"/>
          <w:sz w:val="24"/>
          <w:szCs w:val="24"/>
          <w:highlight w:val="none"/>
        </w:rPr>
      </w:pPr>
      <w:bookmarkStart w:id="415" w:name="_Toc509218752"/>
      <w:bookmarkStart w:id="416" w:name="_Toc200513168"/>
      <w:bookmarkStart w:id="417" w:name="_Toc277082594"/>
      <w:bookmarkStart w:id="418" w:name="_Toc224103359"/>
      <w:bookmarkStart w:id="419" w:name="_Toc287620727"/>
      <w:bookmarkStart w:id="420" w:name="_Toc430530477"/>
      <w:bookmarkStart w:id="421" w:name="_Toc287607788"/>
      <w:bookmarkStart w:id="422" w:name="_Toc20706"/>
      <w:r>
        <w:rPr>
          <w:rFonts w:hint="eastAsia" w:ascii="宋体" w:hAnsi="宋体" w:cs="宋体"/>
          <w:b w:val="0"/>
          <w:bCs/>
          <w:snapToGrid w:val="0"/>
          <w:color w:val="auto"/>
          <w:sz w:val="24"/>
          <w:szCs w:val="24"/>
          <w:highlight w:val="none"/>
        </w:rPr>
        <w:t>7.7  签订合同</w:t>
      </w:r>
      <w:bookmarkEnd w:id="415"/>
      <w:bookmarkEnd w:id="416"/>
      <w:bookmarkEnd w:id="417"/>
      <w:bookmarkEnd w:id="418"/>
      <w:bookmarkEnd w:id="419"/>
      <w:bookmarkEnd w:id="420"/>
      <w:bookmarkEnd w:id="421"/>
      <w:bookmarkEnd w:id="422"/>
    </w:p>
    <w:p w14:paraId="7F033FB8">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7.7.1  招标人和中标人应当自中标通知书发出之日起30日内，根据招标文件和中标人的投标文件订立书面合同。中标人放弃中标项目，无正当理由拒签合同，在签订合同时向招标人提出附加条件或者更改合同实质性内容，</w:t>
      </w:r>
      <w:r>
        <w:rPr>
          <w:rFonts w:hint="eastAsia" w:ascii="宋体" w:hAnsi="宋体" w:cs="宋体"/>
          <w:b w:val="0"/>
          <w:bCs/>
          <w:color w:val="auto"/>
          <w:szCs w:val="21"/>
          <w:highlight w:val="none"/>
        </w:rPr>
        <w:t>或者不按照招标文件要求提交履约保证金的，</w:t>
      </w:r>
      <w:r>
        <w:rPr>
          <w:rFonts w:hint="eastAsia" w:ascii="宋体" w:hAnsi="宋体" w:cs="宋体"/>
          <w:b w:val="0"/>
          <w:bCs/>
          <w:snapToGrid w:val="0"/>
          <w:color w:val="auto"/>
          <w:kern w:val="0"/>
          <w:szCs w:val="21"/>
          <w:highlight w:val="none"/>
        </w:rPr>
        <w:t>招标人</w:t>
      </w:r>
      <w:r>
        <w:rPr>
          <w:rFonts w:hint="eastAsia" w:ascii="宋体" w:hAnsi="宋体" w:cs="宋体"/>
          <w:b w:val="0"/>
          <w:bCs/>
          <w:color w:val="auto"/>
          <w:spacing w:val="-3"/>
          <w:highlight w:val="none"/>
        </w:rPr>
        <w:t>有权</w:t>
      </w:r>
      <w:r>
        <w:rPr>
          <w:rFonts w:hint="eastAsia" w:ascii="宋体" w:hAnsi="宋体" w:cs="宋体"/>
          <w:b w:val="0"/>
          <w:bCs/>
          <w:snapToGrid w:val="0"/>
          <w:color w:val="auto"/>
          <w:kern w:val="0"/>
          <w:szCs w:val="21"/>
          <w:highlight w:val="none"/>
        </w:rPr>
        <w:t>取消其中标资格，其投标保证金以现金形式交纳的不予退还，以保函形式交纳的由保函开立人支付保函担保的与投标保证金等额的款项；给招标人造成的损失超过投标保证金数额的，中标人还应当对超过部分予以赔偿。</w:t>
      </w:r>
    </w:p>
    <w:p w14:paraId="7F033FB9">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7.8.2  发出中标通知书后，招标人无正当理由拒签合同，在签订合同时向中标人提出附加条件或者更改合同实质性内容的，招标人向中标人退还投标保证金；给中标人造成损失的，还应当赔偿损失。</w:t>
      </w:r>
    </w:p>
    <w:p w14:paraId="7F033FBA">
      <w:pPr>
        <w:autoSpaceDE w:val="0"/>
        <w:autoSpaceDN w:val="0"/>
        <w:adjustRightInd w:val="0"/>
        <w:snapToGrid w:val="0"/>
        <w:spacing w:line="360" w:lineRule="auto"/>
        <w:ind w:firstLine="420"/>
        <w:rPr>
          <w:rFonts w:ascii="宋体" w:hAnsi="宋体" w:cs="宋体"/>
          <w:b w:val="0"/>
          <w:bCs/>
          <w:color w:val="auto"/>
          <w:highlight w:val="none"/>
        </w:rPr>
      </w:pPr>
      <w:r>
        <w:rPr>
          <w:rFonts w:hint="eastAsia" w:ascii="宋体" w:hAnsi="宋体" w:cs="宋体"/>
          <w:b w:val="0"/>
          <w:bCs/>
          <w:snapToGrid w:val="0"/>
          <w:color w:val="auto"/>
          <w:kern w:val="0"/>
          <w:szCs w:val="21"/>
          <w:highlight w:val="none"/>
        </w:rPr>
        <w:t>7.8.3  联合体中标的，联合体各方应当共同与招标人签订合同，就中标项目向招标人承担连带责任。</w:t>
      </w:r>
    </w:p>
    <w:p w14:paraId="7F033FBB">
      <w:pPr>
        <w:pStyle w:val="4"/>
        <w:spacing w:before="0" w:after="0" w:line="360" w:lineRule="auto"/>
        <w:rPr>
          <w:rFonts w:hint="eastAsia" w:ascii="宋体" w:hAnsi="宋体" w:cs="宋体"/>
          <w:b w:val="0"/>
          <w:bCs/>
          <w:snapToGrid w:val="0"/>
          <w:color w:val="auto"/>
          <w:highlight w:val="none"/>
        </w:rPr>
      </w:pPr>
      <w:bookmarkStart w:id="423" w:name="_Toc277082595"/>
      <w:bookmarkStart w:id="424" w:name="_Toc5490"/>
      <w:bookmarkStart w:id="425" w:name="_Toc224103360"/>
      <w:bookmarkStart w:id="426" w:name="_Toc430530478"/>
      <w:bookmarkStart w:id="427" w:name="_Toc200513169"/>
      <w:bookmarkStart w:id="428" w:name="_Toc287620728"/>
      <w:bookmarkStart w:id="429" w:name="_Toc287607789"/>
      <w:bookmarkStart w:id="430" w:name="_Toc509218753"/>
      <w:r>
        <w:rPr>
          <w:rFonts w:hint="eastAsia" w:ascii="宋体" w:hAnsi="宋体" w:cs="宋体"/>
          <w:b w:val="0"/>
          <w:bCs/>
          <w:snapToGrid w:val="0"/>
          <w:color w:val="auto"/>
          <w:highlight w:val="none"/>
        </w:rPr>
        <w:t>8.  重新招标和不再招标</w:t>
      </w:r>
      <w:bookmarkEnd w:id="423"/>
      <w:bookmarkEnd w:id="424"/>
      <w:bookmarkEnd w:id="425"/>
      <w:bookmarkEnd w:id="426"/>
      <w:bookmarkEnd w:id="427"/>
      <w:bookmarkEnd w:id="428"/>
      <w:bookmarkEnd w:id="429"/>
      <w:bookmarkEnd w:id="430"/>
    </w:p>
    <w:p w14:paraId="7F033FBC">
      <w:pPr>
        <w:pStyle w:val="5"/>
        <w:snapToGrid w:val="0"/>
        <w:spacing w:before="0" w:after="0" w:line="360" w:lineRule="auto"/>
        <w:rPr>
          <w:rFonts w:hint="eastAsia" w:ascii="宋体" w:hAnsi="宋体" w:cs="宋体"/>
          <w:b w:val="0"/>
          <w:bCs/>
          <w:snapToGrid w:val="0"/>
          <w:color w:val="auto"/>
          <w:sz w:val="24"/>
          <w:szCs w:val="24"/>
          <w:highlight w:val="none"/>
        </w:rPr>
      </w:pPr>
      <w:bookmarkStart w:id="431" w:name="_Toc200513170"/>
      <w:bookmarkStart w:id="432" w:name="_Toc277082596"/>
      <w:bookmarkStart w:id="433" w:name="_Toc224103361"/>
      <w:bookmarkStart w:id="434" w:name="_Toc509218754"/>
      <w:bookmarkStart w:id="435" w:name="_Toc287620729"/>
      <w:bookmarkStart w:id="436" w:name="_Toc287607790"/>
      <w:bookmarkStart w:id="437" w:name="_Toc430530479"/>
      <w:bookmarkStart w:id="438" w:name="_Toc25787"/>
      <w:r>
        <w:rPr>
          <w:rFonts w:hint="eastAsia" w:ascii="宋体" w:hAnsi="宋体" w:cs="宋体"/>
          <w:b w:val="0"/>
          <w:bCs/>
          <w:snapToGrid w:val="0"/>
          <w:color w:val="auto"/>
          <w:sz w:val="24"/>
          <w:szCs w:val="24"/>
          <w:highlight w:val="none"/>
        </w:rPr>
        <w:t>8.1  重新招标</w:t>
      </w:r>
      <w:bookmarkEnd w:id="431"/>
      <w:bookmarkEnd w:id="432"/>
      <w:bookmarkEnd w:id="433"/>
      <w:bookmarkEnd w:id="434"/>
      <w:bookmarkEnd w:id="435"/>
      <w:bookmarkEnd w:id="436"/>
      <w:bookmarkEnd w:id="437"/>
      <w:r>
        <w:rPr>
          <w:rFonts w:hint="eastAsia" w:ascii="宋体" w:hAnsi="宋体" w:cs="宋体"/>
          <w:b w:val="0"/>
          <w:bCs/>
          <w:snapToGrid w:val="0"/>
          <w:color w:val="auto"/>
          <w:sz w:val="24"/>
          <w:szCs w:val="24"/>
          <w:highlight w:val="none"/>
        </w:rPr>
        <w:t>的情形</w:t>
      </w:r>
      <w:bookmarkEnd w:id="438"/>
    </w:p>
    <w:p w14:paraId="7F033FBD">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重新招标的情形：见投标人须知前附表。</w:t>
      </w:r>
    </w:p>
    <w:p w14:paraId="7F033FBE">
      <w:pPr>
        <w:pStyle w:val="5"/>
        <w:snapToGrid w:val="0"/>
        <w:spacing w:before="0" w:after="0" w:line="360" w:lineRule="auto"/>
        <w:rPr>
          <w:rFonts w:hint="eastAsia" w:ascii="宋体" w:hAnsi="宋体" w:cs="宋体"/>
          <w:b w:val="0"/>
          <w:bCs/>
          <w:snapToGrid w:val="0"/>
          <w:color w:val="auto"/>
          <w:sz w:val="24"/>
          <w:szCs w:val="24"/>
          <w:highlight w:val="none"/>
        </w:rPr>
      </w:pPr>
      <w:bookmarkStart w:id="439" w:name="_Toc20713"/>
      <w:bookmarkStart w:id="440" w:name="_Toc430530480"/>
      <w:bookmarkStart w:id="441" w:name="_Toc277082597"/>
      <w:bookmarkStart w:id="442" w:name="_Toc287607791"/>
      <w:bookmarkStart w:id="443" w:name="_Toc224103362"/>
      <w:bookmarkStart w:id="444" w:name="_Toc200513171"/>
      <w:bookmarkStart w:id="445" w:name="_Toc287620730"/>
      <w:bookmarkStart w:id="446" w:name="_Toc509218755"/>
      <w:r>
        <w:rPr>
          <w:rFonts w:hint="eastAsia" w:ascii="宋体" w:hAnsi="宋体" w:cs="宋体"/>
          <w:b w:val="0"/>
          <w:bCs/>
          <w:snapToGrid w:val="0"/>
          <w:color w:val="auto"/>
          <w:sz w:val="24"/>
          <w:szCs w:val="24"/>
          <w:highlight w:val="none"/>
        </w:rPr>
        <w:t>8.2  重新招标和不再招标</w:t>
      </w:r>
      <w:bookmarkEnd w:id="439"/>
      <w:bookmarkEnd w:id="440"/>
      <w:bookmarkEnd w:id="441"/>
      <w:bookmarkEnd w:id="442"/>
      <w:bookmarkEnd w:id="443"/>
      <w:bookmarkEnd w:id="444"/>
      <w:bookmarkEnd w:id="445"/>
      <w:bookmarkEnd w:id="446"/>
    </w:p>
    <w:p w14:paraId="7F033FBF">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p>
    <w:p w14:paraId="7F033FC0">
      <w:pPr>
        <w:pStyle w:val="4"/>
        <w:spacing w:before="0" w:after="0" w:line="360" w:lineRule="auto"/>
        <w:rPr>
          <w:rFonts w:hint="eastAsia" w:ascii="宋体" w:hAnsi="宋体" w:cs="宋体"/>
          <w:b w:val="0"/>
          <w:bCs/>
          <w:snapToGrid w:val="0"/>
          <w:color w:val="auto"/>
          <w:highlight w:val="none"/>
        </w:rPr>
      </w:pPr>
      <w:bookmarkStart w:id="447" w:name="_Toc224103363"/>
      <w:bookmarkStart w:id="448" w:name="_Toc11121"/>
      <w:bookmarkStart w:id="449" w:name="_Toc430530481"/>
      <w:bookmarkStart w:id="450" w:name="_Toc287620731"/>
      <w:bookmarkStart w:id="451" w:name="_Toc277082598"/>
      <w:bookmarkStart w:id="452" w:name="_Toc200513172"/>
      <w:bookmarkStart w:id="453" w:name="_Toc287607792"/>
      <w:bookmarkStart w:id="454" w:name="_Toc509218756"/>
      <w:r>
        <w:rPr>
          <w:rFonts w:hint="eastAsia" w:ascii="宋体" w:hAnsi="宋体" w:cs="宋体"/>
          <w:b w:val="0"/>
          <w:bCs/>
          <w:snapToGrid w:val="0"/>
          <w:color w:val="auto"/>
          <w:highlight w:val="none"/>
        </w:rPr>
        <w:t>9.  纪律和监督</w:t>
      </w:r>
      <w:bookmarkEnd w:id="447"/>
      <w:bookmarkEnd w:id="448"/>
      <w:bookmarkEnd w:id="449"/>
      <w:bookmarkEnd w:id="450"/>
      <w:bookmarkEnd w:id="451"/>
      <w:bookmarkEnd w:id="452"/>
      <w:bookmarkEnd w:id="453"/>
      <w:bookmarkEnd w:id="454"/>
    </w:p>
    <w:p w14:paraId="7F033FC1">
      <w:pPr>
        <w:pStyle w:val="5"/>
        <w:snapToGrid w:val="0"/>
        <w:spacing w:before="0" w:after="0" w:line="360" w:lineRule="auto"/>
        <w:rPr>
          <w:rFonts w:hint="eastAsia" w:ascii="宋体" w:hAnsi="宋体" w:cs="宋体"/>
          <w:b w:val="0"/>
          <w:bCs/>
          <w:snapToGrid w:val="0"/>
          <w:color w:val="auto"/>
          <w:sz w:val="24"/>
          <w:szCs w:val="24"/>
          <w:highlight w:val="none"/>
        </w:rPr>
      </w:pPr>
      <w:bookmarkStart w:id="455" w:name="_Toc287607793"/>
      <w:bookmarkStart w:id="456" w:name="_Toc430530482"/>
      <w:bookmarkStart w:id="457" w:name="_Toc30480"/>
      <w:bookmarkStart w:id="458" w:name="_Toc200513173"/>
      <w:bookmarkStart w:id="459" w:name="_Toc509218757"/>
      <w:bookmarkStart w:id="460" w:name="_Toc287620732"/>
      <w:bookmarkStart w:id="461" w:name="_Toc224103364"/>
      <w:bookmarkStart w:id="462" w:name="_Toc277082599"/>
      <w:r>
        <w:rPr>
          <w:rFonts w:hint="eastAsia" w:ascii="宋体" w:hAnsi="宋体" w:cs="宋体"/>
          <w:b w:val="0"/>
          <w:bCs/>
          <w:snapToGrid w:val="0"/>
          <w:color w:val="auto"/>
          <w:sz w:val="24"/>
          <w:szCs w:val="24"/>
          <w:highlight w:val="none"/>
        </w:rPr>
        <w:t>9.1  对招标人的纪律要求</w:t>
      </w:r>
      <w:bookmarkEnd w:id="455"/>
      <w:bookmarkEnd w:id="456"/>
      <w:bookmarkEnd w:id="457"/>
      <w:bookmarkEnd w:id="458"/>
      <w:bookmarkEnd w:id="459"/>
      <w:bookmarkEnd w:id="460"/>
      <w:bookmarkEnd w:id="461"/>
      <w:bookmarkEnd w:id="462"/>
    </w:p>
    <w:p w14:paraId="7F033FC2">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snapToGrid w:val="0"/>
          <w:color w:val="auto"/>
          <w:kern w:val="0"/>
          <w:szCs w:val="21"/>
          <w:highlight w:val="none"/>
        </w:rPr>
        <w:t>招标人不得泄露招标投标活动中应当保密的情况和资料，不得与投标人串通损害国家利益、社会公共利益或者他人合法权益，</w:t>
      </w:r>
      <w:r>
        <w:rPr>
          <w:rFonts w:hint="eastAsia" w:ascii="宋体" w:hAnsi="宋体" w:cs="宋体"/>
          <w:b w:val="0"/>
          <w:bCs/>
          <w:color w:val="auto"/>
          <w:highlight w:val="none"/>
        </w:rPr>
        <w:t>禁止招标人与投标人串通投标。</w:t>
      </w:r>
    </w:p>
    <w:p w14:paraId="7F033FC3">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有下列情形之一的，属于招标人与投标人串通投标：</w:t>
      </w:r>
    </w:p>
    <w:p w14:paraId="7F033FC4">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（1）招标人在开标前开启投标文件并将有关信息泄露给其他投标人；</w:t>
      </w:r>
    </w:p>
    <w:p w14:paraId="7F033FC5">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（2）招标人直接或者间接向投标人泄露标底、评标委员会成员等信息；</w:t>
      </w:r>
    </w:p>
    <w:p w14:paraId="7F033FC6">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（3）招标人明示或者暗示投标人压低或者抬高投标报价；</w:t>
      </w:r>
    </w:p>
    <w:p w14:paraId="7F033FC7">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（4）招标人授意投标人撤换、修改投标文件；</w:t>
      </w:r>
    </w:p>
    <w:p w14:paraId="7F033FC8">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（5）招标人明示或者暗示投标人为特定投标人中标提供方便；</w:t>
      </w:r>
    </w:p>
    <w:p w14:paraId="7F033FC9">
      <w:pPr>
        <w:autoSpaceDE w:val="0"/>
        <w:autoSpaceDN w:val="0"/>
        <w:adjustRightInd w:val="0"/>
        <w:snapToGrid w:val="0"/>
        <w:spacing w:line="36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color w:val="auto"/>
          <w:highlight w:val="none"/>
        </w:rPr>
        <w:t>（6）招标人与投标人为谋求特定投标人中标而采取的其他串通行为。</w:t>
      </w:r>
    </w:p>
    <w:p w14:paraId="7F033FCA">
      <w:pPr>
        <w:pStyle w:val="5"/>
        <w:snapToGrid w:val="0"/>
        <w:spacing w:before="0" w:after="0" w:line="360" w:lineRule="auto"/>
        <w:ind w:firstLine="480" w:firstLineChars="200"/>
        <w:rPr>
          <w:rFonts w:hint="eastAsia" w:ascii="宋体" w:hAnsi="宋体" w:cs="宋体"/>
          <w:b w:val="0"/>
          <w:bCs/>
          <w:snapToGrid w:val="0"/>
          <w:color w:val="auto"/>
          <w:sz w:val="24"/>
          <w:szCs w:val="24"/>
          <w:highlight w:val="none"/>
        </w:rPr>
      </w:pPr>
      <w:bookmarkStart w:id="463" w:name="_Toc287607794"/>
      <w:bookmarkStart w:id="464" w:name="_Toc6465"/>
      <w:bookmarkStart w:id="465" w:name="_Toc287620733"/>
      <w:bookmarkStart w:id="466" w:name="_Toc509218758"/>
      <w:bookmarkStart w:id="467" w:name="_Toc200513174"/>
      <w:bookmarkStart w:id="468" w:name="_Toc430530483"/>
      <w:bookmarkStart w:id="469" w:name="_Toc224103365"/>
      <w:bookmarkStart w:id="470" w:name="_Toc277082600"/>
      <w:r>
        <w:rPr>
          <w:rFonts w:hint="eastAsia" w:ascii="宋体" w:hAnsi="宋体" w:cs="宋体"/>
          <w:b w:val="0"/>
          <w:bCs/>
          <w:snapToGrid w:val="0"/>
          <w:color w:val="auto"/>
          <w:sz w:val="24"/>
          <w:szCs w:val="24"/>
          <w:highlight w:val="none"/>
        </w:rPr>
        <w:t>9.2  对投标人的纪律要求</w:t>
      </w:r>
      <w:bookmarkEnd w:id="463"/>
      <w:bookmarkEnd w:id="464"/>
      <w:bookmarkEnd w:id="465"/>
      <w:bookmarkEnd w:id="466"/>
      <w:bookmarkEnd w:id="467"/>
      <w:bookmarkEnd w:id="468"/>
      <w:bookmarkEnd w:id="469"/>
      <w:bookmarkEnd w:id="470"/>
    </w:p>
    <w:p w14:paraId="7F033FCB">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F033FCC">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9.2.1  </w:t>
      </w:r>
      <w:r>
        <w:rPr>
          <w:rFonts w:hint="eastAsia" w:ascii="宋体" w:hAnsi="宋体" w:cs="宋体"/>
          <w:b w:val="0"/>
          <w:bCs/>
          <w:color w:val="auto"/>
          <w:highlight w:val="none"/>
        </w:rPr>
        <w:t>有下列情形之一的，属于投标人相互串通投标：</w:t>
      </w:r>
    </w:p>
    <w:p w14:paraId="7F033FCD">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（1）投标人之间协商投标报价等投标文件的实质性内容；</w:t>
      </w:r>
    </w:p>
    <w:p w14:paraId="7F033FCE">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（2）投标人之间约定中标人；</w:t>
      </w:r>
    </w:p>
    <w:p w14:paraId="7F033FCF">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（3）投标人之间约定部分投标人放弃投标或者中标；</w:t>
      </w:r>
    </w:p>
    <w:p w14:paraId="7F033FD0">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（4）属于同一集团、协会、商会等组织成员的投标人按照该组织要求协同投标；</w:t>
      </w:r>
    </w:p>
    <w:p w14:paraId="7F033FD1">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（5）投标人之间为谋取中标或者排斥特定投标人而采取的其他联合行动。</w:t>
      </w:r>
    </w:p>
    <w:p w14:paraId="7F033FD2">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9.2.2  有下列情形之一的，视为投标人相互串通投标：</w:t>
      </w:r>
    </w:p>
    <w:p w14:paraId="7F033FD3">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（1）不同投标人的投标文件由同一单位或者个人编制；</w:t>
      </w:r>
    </w:p>
    <w:p w14:paraId="7F033FD4">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（2）不同投标人委托同一单位或者个人办理投标事宜；</w:t>
      </w:r>
    </w:p>
    <w:p w14:paraId="7F033FD5">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（3）不同投标人的投标文件载明的项目管理成员为同一人；</w:t>
      </w:r>
    </w:p>
    <w:p w14:paraId="7F033FD6">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（4）不同投标人的投标文件异常一致或者投标报价呈规律性差异；</w:t>
      </w:r>
    </w:p>
    <w:p w14:paraId="7F033FD7">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（5）不同投标人的投标文件相互混装；</w:t>
      </w:r>
    </w:p>
    <w:p w14:paraId="7F033FD8">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（6）不同投标人的投标保证金从同一单位或者个人的账户转出。</w:t>
      </w:r>
    </w:p>
    <w:p w14:paraId="7F033FD9">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9.2.3  使用通过受让或者租借等方式获取的资格、资质证书投标的，属于以他人名义投标。</w:t>
      </w:r>
    </w:p>
    <w:p w14:paraId="7F033FDA">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9.2.4  投标人有下列情形之一的，属于以其他方式弄虚作假的行为：</w:t>
      </w:r>
    </w:p>
    <w:p w14:paraId="7F033FDB">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（1）使用伪造、变造的许可证件；</w:t>
      </w:r>
    </w:p>
    <w:p w14:paraId="7F033FDC">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（2）提供虚假的财务状况或者业绩；</w:t>
      </w:r>
    </w:p>
    <w:p w14:paraId="7F033FDD">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（3）提供虚假的项目负责人或者主要技术人员简历、劳动关系证明；</w:t>
      </w:r>
    </w:p>
    <w:p w14:paraId="7F033FDE">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（4）提供虚假的信用状况；</w:t>
      </w:r>
    </w:p>
    <w:p w14:paraId="7F033FDF">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color w:val="auto"/>
          <w:highlight w:val="none"/>
        </w:rPr>
        <w:t>（5）其他弄虚作假的行为。</w:t>
      </w:r>
    </w:p>
    <w:p w14:paraId="7F033FE0">
      <w:pPr>
        <w:pStyle w:val="5"/>
        <w:snapToGrid w:val="0"/>
        <w:spacing w:before="0" w:after="0" w:line="360" w:lineRule="auto"/>
        <w:rPr>
          <w:rFonts w:hint="eastAsia" w:ascii="宋体" w:hAnsi="宋体" w:cs="宋体"/>
          <w:b w:val="0"/>
          <w:bCs/>
          <w:snapToGrid w:val="0"/>
          <w:color w:val="auto"/>
          <w:sz w:val="24"/>
          <w:szCs w:val="24"/>
          <w:highlight w:val="none"/>
        </w:rPr>
      </w:pPr>
      <w:bookmarkStart w:id="471" w:name="_Toc8051"/>
      <w:bookmarkStart w:id="472" w:name="_Toc430530484"/>
      <w:bookmarkStart w:id="473" w:name="_Toc277082601"/>
      <w:bookmarkStart w:id="474" w:name="_Toc200513175"/>
      <w:bookmarkStart w:id="475" w:name="_Toc287607795"/>
      <w:bookmarkStart w:id="476" w:name="_Toc224103366"/>
      <w:bookmarkStart w:id="477" w:name="_Toc287620734"/>
      <w:bookmarkStart w:id="478" w:name="_Toc509218759"/>
      <w:r>
        <w:rPr>
          <w:rFonts w:hint="eastAsia" w:ascii="宋体" w:hAnsi="宋体" w:cs="宋体"/>
          <w:b w:val="0"/>
          <w:bCs/>
          <w:snapToGrid w:val="0"/>
          <w:color w:val="auto"/>
          <w:sz w:val="24"/>
          <w:szCs w:val="24"/>
          <w:highlight w:val="none"/>
        </w:rPr>
        <w:t>9.3  对评标委员会成员的纪律要求</w:t>
      </w:r>
      <w:bookmarkEnd w:id="471"/>
      <w:bookmarkEnd w:id="472"/>
      <w:bookmarkEnd w:id="473"/>
      <w:bookmarkEnd w:id="474"/>
      <w:bookmarkEnd w:id="475"/>
      <w:bookmarkEnd w:id="476"/>
      <w:bookmarkEnd w:id="477"/>
      <w:bookmarkEnd w:id="478"/>
    </w:p>
    <w:p w14:paraId="7F033FE1">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不得对招标文件中《否决投标情况一览表》以外的内容予以否决投标，否则对评标委员会成员按《重庆市综合评标专家库和评标专家管理暂行办法》进行处理。</w:t>
      </w:r>
    </w:p>
    <w:p w14:paraId="7F033FE2">
      <w:pPr>
        <w:pStyle w:val="5"/>
        <w:snapToGrid w:val="0"/>
        <w:spacing w:before="0" w:after="0" w:line="360" w:lineRule="auto"/>
        <w:rPr>
          <w:rFonts w:hint="eastAsia" w:ascii="宋体" w:hAnsi="宋体" w:cs="宋体"/>
          <w:b w:val="0"/>
          <w:bCs/>
          <w:snapToGrid w:val="0"/>
          <w:color w:val="auto"/>
          <w:sz w:val="24"/>
          <w:szCs w:val="24"/>
          <w:highlight w:val="none"/>
        </w:rPr>
      </w:pPr>
      <w:bookmarkStart w:id="479" w:name="_Toc200513176"/>
      <w:bookmarkStart w:id="480" w:name="_Toc509218760"/>
      <w:bookmarkStart w:id="481" w:name="_Toc287607796"/>
      <w:bookmarkStart w:id="482" w:name="_Toc430530485"/>
      <w:bookmarkStart w:id="483" w:name="_Toc224103367"/>
      <w:bookmarkStart w:id="484" w:name="_Toc277082602"/>
      <w:bookmarkStart w:id="485" w:name="_Toc287620735"/>
      <w:bookmarkStart w:id="486" w:name="_Toc4796"/>
      <w:r>
        <w:rPr>
          <w:rFonts w:hint="eastAsia" w:ascii="宋体" w:hAnsi="宋体" w:cs="宋体"/>
          <w:b w:val="0"/>
          <w:bCs/>
          <w:snapToGrid w:val="0"/>
          <w:color w:val="auto"/>
          <w:sz w:val="24"/>
          <w:szCs w:val="24"/>
          <w:highlight w:val="none"/>
        </w:rPr>
        <w:t>9.4  对与评标活动有关的工作人员的纪律要求</w:t>
      </w:r>
      <w:bookmarkEnd w:id="479"/>
      <w:bookmarkEnd w:id="480"/>
      <w:bookmarkEnd w:id="481"/>
      <w:bookmarkEnd w:id="482"/>
      <w:bookmarkEnd w:id="483"/>
      <w:bookmarkEnd w:id="484"/>
      <w:bookmarkEnd w:id="485"/>
      <w:bookmarkEnd w:id="486"/>
    </w:p>
    <w:p w14:paraId="7F033FE3">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7F033FE4">
      <w:pPr>
        <w:pStyle w:val="5"/>
        <w:snapToGrid w:val="0"/>
        <w:spacing w:before="0" w:after="0" w:line="360" w:lineRule="auto"/>
        <w:rPr>
          <w:rFonts w:hint="eastAsia" w:ascii="宋体" w:hAnsi="宋体" w:cs="宋体"/>
          <w:b w:val="0"/>
          <w:bCs/>
          <w:snapToGrid w:val="0"/>
          <w:color w:val="auto"/>
          <w:sz w:val="24"/>
          <w:szCs w:val="24"/>
          <w:highlight w:val="none"/>
        </w:rPr>
      </w:pPr>
      <w:bookmarkStart w:id="487" w:name="_Toc277082603"/>
      <w:bookmarkStart w:id="488" w:name="_Toc430530486"/>
      <w:bookmarkStart w:id="489" w:name="_Toc200513177"/>
      <w:bookmarkStart w:id="490" w:name="_Toc509218761"/>
      <w:bookmarkStart w:id="491" w:name="_Toc287620736"/>
      <w:bookmarkStart w:id="492" w:name="_Toc287607797"/>
      <w:bookmarkStart w:id="493" w:name="_Toc689"/>
      <w:bookmarkStart w:id="494" w:name="_Toc224103368"/>
      <w:r>
        <w:rPr>
          <w:rFonts w:hint="eastAsia" w:ascii="宋体" w:hAnsi="宋体" w:cs="宋体"/>
          <w:b w:val="0"/>
          <w:bCs/>
          <w:snapToGrid w:val="0"/>
          <w:color w:val="auto"/>
          <w:sz w:val="24"/>
          <w:szCs w:val="24"/>
          <w:highlight w:val="none"/>
        </w:rPr>
        <w:t>9.5  投诉</w:t>
      </w:r>
      <w:bookmarkEnd w:id="487"/>
      <w:bookmarkEnd w:id="488"/>
      <w:bookmarkEnd w:id="489"/>
      <w:bookmarkEnd w:id="490"/>
      <w:bookmarkEnd w:id="491"/>
      <w:bookmarkEnd w:id="492"/>
      <w:bookmarkEnd w:id="493"/>
      <w:bookmarkEnd w:id="494"/>
    </w:p>
    <w:p w14:paraId="7F033FE5">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9.5.1  投标人或者其他利害关系人认为招标投标活动不符合法律、行政法规规定的，可以自知道或者应当知道之日起 10 日内向有关行政监督部门投诉。投诉应当有明确的请求和必要的证明材料。</w:t>
      </w:r>
    </w:p>
    <w:p w14:paraId="7F033FE6">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9.5.2  投标人或者其他利害关系人对招标文件、开标和评标结果提出投诉的，应当按照投标人须知第 2.4 款、第 5.3 款和第 7.2 款的规定先向招标人提出异议。异议答复期间不计算在第 9.5.1 项规定的期限内。</w:t>
      </w:r>
    </w:p>
    <w:p w14:paraId="7F033FE7">
      <w:pPr>
        <w:pStyle w:val="4"/>
        <w:spacing w:before="0" w:after="0" w:line="360" w:lineRule="auto"/>
        <w:rPr>
          <w:rFonts w:hint="eastAsia" w:ascii="宋体" w:hAnsi="宋体" w:cs="宋体"/>
          <w:b w:val="0"/>
          <w:bCs/>
          <w:snapToGrid w:val="0"/>
          <w:color w:val="auto"/>
          <w:highlight w:val="none"/>
        </w:rPr>
      </w:pPr>
      <w:bookmarkStart w:id="495" w:name="_Toc287620737"/>
      <w:bookmarkStart w:id="496" w:name="_Toc200513178"/>
      <w:bookmarkStart w:id="497" w:name="_Toc430530487"/>
      <w:bookmarkStart w:id="498" w:name="_Toc788"/>
      <w:bookmarkStart w:id="499" w:name="_Toc277082604"/>
      <w:bookmarkStart w:id="500" w:name="_Toc224103369"/>
      <w:bookmarkStart w:id="501" w:name="_Toc287607798"/>
      <w:bookmarkStart w:id="502" w:name="_Toc509218762"/>
      <w:r>
        <w:rPr>
          <w:rFonts w:hint="eastAsia" w:ascii="宋体" w:hAnsi="宋体" w:cs="宋体"/>
          <w:b w:val="0"/>
          <w:bCs/>
          <w:snapToGrid w:val="0"/>
          <w:color w:val="auto"/>
          <w:highlight w:val="none"/>
        </w:rPr>
        <w:t>10. 需要补充的其他内容</w:t>
      </w:r>
      <w:bookmarkEnd w:id="495"/>
      <w:bookmarkEnd w:id="496"/>
      <w:bookmarkEnd w:id="497"/>
      <w:bookmarkEnd w:id="498"/>
      <w:bookmarkEnd w:id="499"/>
      <w:bookmarkEnd w:id="500"/>
      <w:bookmarkEnd w:id="501"/>
      <w:bookmarkEnd w:id="502"/>
    </w:p>
    <w:p w14:paraId="7F033FE8">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sectPr>
          <w:footerReference r:id="rId6" w:type="default"/>
          <w:footerReference r:id="rId7" w:type="even"/>
          <w:pgSz w:w="11906" w:h="16838"/>
          <w:pgMar w:top="1304" w:right="1134" w:bottom="1304" w:left="1304" w:header="851" w:footer="992" w:gutter="0"/>
          <w:cols w:space="720" w:num="1"/>
          <w:docGrid w:linePitch="312" w:charSpace="0"/>
        </w:sectPr>
      </w:pPr>
      <w:r>
        <w:rPr>
          <w:rFonts w:hint="eastAsia" w:ascii="宋体" w:hAnsi="宋体" w:cs="宋体"/>
          <w:b w:val="0"/>
          <w:bCs/>
          <w:snapToGrid w:val="0"/>
          <w:color w:val="auto"/>
          <w:kern w:val="0"/>
          <w:szCs w:val="21"/>
          <w:highlight w:val="none"/>
        </w:rPr>
        <w:t>需要补充的其他内容：见投标人须知前附表。</w:t>
      </w:r>
    </w:p>
    <w:p w14:paraId="7F033FE9">
      <w:pPr>
        <w:autoSpaceDE w:val="0"/>
        <w:autoSpaceDN w:val="0"/>
        <w:adjustRightInd w:val="0"/>
        <w:snapToGrid w:val="0"/>
        <w:spacing w:line="360" w:lineRule="auto"/>
        <w:ind w:firstLine="420" w:firstLineChars="200"/>
        <w:rPr>
          <w:rFonts w:hint="eastAsia" w:ascii="宋体" w:hAnsi="宋体" w:cs="宋体"/>
          <w:b w:val="0"/>
          <w:bCs/>
          <w:snapToGrid w:val="0"/>
          <w:color w:val="auto"/>
          <w:kern w:val="0"/>
          <w:szCs w:val="21"/>
          <w:highlight w:val="none"/>
        </w:rPr>
      </w:pPr>
    </w:p>
    <w:p w14:paraId="7F033FEA">
      <w:pPr>
        <w:autoSpaceDE w:val="0"/>
        <w:autoSpaceDN w:val="0"/>
        <w:adjustRightInd w:val="0"/>
        <w:snapToGrid w:val="0"/>
        <w:spacing w:line="360" w:lineRule="auto"/>
        <w:jc w:val="left"/>
        <w:rPr>
          <w:rFonts w:hint="eastAsia" w:ascii="宋体" w:hAnsi="宋体" w:cs="宋体"/>
          <w:b w:val="0"/>
          <w:bCs/>
          <w:snapToGrid w:val="0"/>
          <w:color w:val="auto"/>
          <w:kern w:val="0"/>
          <w:highlight w:val="none"/>
        </w:rPr>
      </w:pPr>
      <w:r>
        <w:rPr>
          <w:rFonts w:hint="eastAsia" w:ascii="宋体" w:hAnsi="宋体" w:cs="宋体"/>
          <w:b w:val="0"/>
          <w:bCs/>
          <w:snapToGrid w:val="0"/>
          <w:color w:val="auto"/>
          <w:kern w:val="0"/>
          <w:highlight w:val="none"/>
        </w:rPr>
        <w:t>附表一：开标记录表</w:t>
      </w:r>
    </w:p>
    <w:p w14:paraId="7F033FEB">
      <w:pPr>
        <w:autoSpaceDE w:val="0"/>
        <w:autoSpaceDN w:val="0"/>
        <w:adjustRightInd w:val="0"/>
        <w:snapToGrid w:val="0"/>
        <w:spacing w:line="360" w:lineRule="auto"/>
        <w:jc w:val="left"/>
        <w:rPr>
          <w:rFonts w:hint="eastAsia" w:ascii="宋体" w:hAnsi="宋体" w:cs="宋体"/>
          <w:b w:val="0"/>
          <w:bCs/>
          <w:snapToGrid w:val="0"/>
          <w:color w:val="auto"/>
          <w:kern w:val="0"/>
          <w:highlight w:val="none"/>
        </w:rPr>
      </w:pPr>
    </w:p>
    <w:p w14:paraId="7F033FEC">
      <w:pPr>
        <w:tabs>
          <w:tab w:val="left" w:pos="3529"/>
          <w:tab w:val="left" w:pos="5060"/>
        </w:tabs>
        <w:autoSpaceDE w:val="0"/>
        <w:autoSpaceDN w:val="0"/>
        <w:adjustRightInd w:val="0"/>
        <w:snapToGrid w:val="0"/>
        <w:spacing w:line="360" w:lineRule="auto"/>
        <w:ind w:firstLine="3324" w:firstLineChars="600"/>
        <w:jc w:val="left"/>
        <w:rPr>
          <w:rFonts w:hint="eastAsia" w:ascii="宋体" w:hAnsi="宋体" w:cs="宋体"/>
          <w:b w:val="0"/>
          <w:bCs/>
          <w:snapToGrid w:val="0"/>
          <w:color w:val="auto"/>
          <w:kern w:val="0"/>
          <w:sz w:val="28"/>
          <w:szCs w:val="28"/>
          <w:highlight w:val="none"/>
        </w:rPr>
      </w:pPr>
      <w:r>
        <w:rPr>
          <w:rFonts w:hint="eastAsia" w:ascii="宋体" w:hAnsi="宋体" w:cs="宋体"/>
          <w:b w:val="0"/>
          <w:bCs/>
          <w:snapToGrid w:val="0"/>
          <w:color w:val="auto"/>
          <w:w w:val="198"/>
          <w:kern w:val="0"/>
          <w:sz w:val="28"/>
          <w:szCs w:val="28"/>
          <w:highlight w:val="none"/>
          <w:u w:val="single"/>
        </w:rPr>
        <w:t xml:space="preserve">              </w:t>
      </w:r>
      <w:r>
        <w:rPr>
          <w:rFonts w:hint="eastAsia" w:ascii="宋体" w:hAnsi="宋体" w:cs="宋体"/>
          <w:b w:val="0"/>
          <w:bCs/>
          <w:snapToGrid w:val="0"/>
          <w:color w:val="auto"/>
          <w:kern w:val="0"/>
          <w:sz w:val="28"/>
          <w:szCs w:val="28"/>
          <w:highlight w:val="none"/>
          <w:u w:val="single"/>
        </w:rPr>
        <w:t xml:space="preserve"> </w:t>
      </w:r>
      <w:r>
        <w:rPr>
          <w:rFonts w:hint="eastAsia" w:ascii="宋体" w:hAnsi="宋体" w:cs="宋体"/>
          <w:b w:val="0"/>
          <w:bCs/>
          <w:snapToGrid w:val="0"/>
          <w:color w:val="auto"/>
          <w:w w:val="99"/>
          <w:kern w:val="0"/>
          <w:sz w:val="28"/>
          <w:szCs w:val="28"/>
          <w:highlight w:val="none"/>
          <w:u w:val="single"/>
        </w:rPr>
        <w:t>（项目名称）</w:t>
      </w:r>
      <w:r>
        <w:rPr>
          <w:rFonts w:hint="eastAsia" w:ascii="宋体" w:hAnsi="宋体" w:cs="宋体"/>
          <w:b w:val="0"/>
          <w:bCs/>
          <w:snapToGrid w:val="0"/>
          <w:color w:val="auto"/>
          <w:w w:val="99"/>
          <w:kern w:val="0"/>
          <w:sz w:val="28"/>
          <w:szCs w:val="28"/>
          <w:highlight w:val="none"/>
        </w:rPr>
        <w:t>开标记录表</w:t>
      </w:r>
    </w:p>
    <w:p w14:paraId="7F033FED">
      <w:pPr>
        <w:tabs>
          <w:tab w:val="left" w:pos="2260"/>
          <w:tab w:val="left" w:pos="5060"/>
        </w:tabs>
        <w:autoSpaceDE w:val="0"/>
        <w:autoSpaceDN w:val="0"/>
        <w:adjustRightInd w:val="0"/>
        <w:snapToGrid w:val="0"/>
        <w:spacing w:line="360" w:lineRule="auto"/>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 w:val="28"/>
          <w:szCs w:val="28"/>
          <w:highlight w:val="none"/>
        </w:rPr>
        <w:t xml:space="preserve">                             </w:t>
      </w:r>
      <w:r>
        <w:rPr>
          <w:rFonts w:hint="eastAsia" w:ascii="宋体" w:hAnsi="宋体" w:cs="宋体"/>
          <w:b w:val="0"/>
          <w:bCs/>
          <w:snapToGrid w:val="0"/>
          <w:color w:val="auto"/>
          <w:kern w:val="0"/>
          <w:szCs w:val="21"/>
          <w:highlight w:val="none"/>
        </w:rPr>
        <w:t>开标时间：</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时</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分</w:t>
      </w:r>
    </w:p>
    <w:tbl>
      <w:tblPr>
        <w:tblStyle w:val="46"/>
        <w:tblW w:w="14553"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3"/>
        <w:gridCol w:w="3260"/>
        <w:gridCol w:w="1134"/>
        <w:gridCol w:w="3008"/>
        <w:gridCol w:w="1755"/>
        <w:gridCol w:w="1834"/>
        <w:gridCol w:w="1450"/>
        <w:gridCol w:w="1679"/>
      </w:tblGrid>
      <w:tr w14:paraId="7F033F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51" w:hRule="exact"/>
          <w:jc w:val="center"/>
        </w:trPr>
        <w:tc>
          <w:tcPr>
            <w:tcW w:w="433" w:type="dxa"/>
            <w:vAlign w:val="center"/>
          </w:tcPr>
          <w:p w14:paraId="7F033FEE">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序号</w:t>
            </w:r>
          </w:p>
        </w:tc>
        <w:tc>
          <w:tcPr>
            <w:tcW w:w="3260" w:type="dxa"/>
            <w:vAlign w:val="center"/>
          </w:tcPr>
          <w:p w14:paraId="7F033FEF">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w:t>
            </w:r>
          </w:p>
        </w:tc>
        <w:tc>
          <w:tcPr>
            <w:tcW w:w="1134" w:type="dxa"/>
            <w:vAlign w:val="center"/>
          </w:tcPr>
          <w:p w14:paraId="7F033FF0">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密封情况</w:t>
            </w:r>
          </w:p>
        </w:tc>
        <w:tc>
          <w:tcPr>
            <w:tcW w:w="3008" w:type="dxa"/>
            <w:tcBorders>
              <w:right w:val="single" w:color="auto" w:sz="4" w:space="0"/>
            </w:tcBorders>
            <w:vAlign w:val="center"/>
          </w:tcPr>
          <w:p w14:paraId="7F033FF1">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投标总报价</w:t>
            </w:r>
          </w:p>
        </w:tc>
        <w:tc>
          <w:tcPr>
            <w:tcW w:w="1755" w:type="dxa"/>
            <w:tcBorders>
              <w:left w:val="single" w:color="auto" w:sz="4" w:space="0"/>
            </w:tcBorders>
            <w:vAlign w:val="center"/>
          </w:tcPr>
          <w:p w14:paraId="7F033FF2">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color w:val="auto"/>
                <w:highlight w:val="none"/>
              </w:rPr>
              <w:t>增值税</w:t>
            </w:r>
            <w:r>
              <w:rPr>
                <w:rFonts w:hint="eastAsia" w:ascii="宋体" w:hAnsi="宋体" w:cs="宋体"/>
                <w:b w:val="0"/>
                <w:bCs/>
                <w:color w:val="auto"/>
                <w:spacing w:val="-3"/>
                <w:highlight w:val="none"/>
              </w:rPr>
              <w:t>税</w:t>
            </w:r>
            <w:r>
              <w:rPr>
                <w:rFonts w:hint="eastAsia" w:ascii="宋体" w:hAnsi="宋体" w:cs="宋体"/>
                <w:b w:val="0"/>
                <w:bCs/>
                <w:color w:val="auto"/>
                <w:highlight w:val="none"/>
              </w:rPr>
              <w:t>率</w:t>
            </w:r>
          </w:p>
        </w:tc>
        <w:tc>
          <w:tcPr>
            <w:tcW w:w="1834" w:type="dxa"/>
            <w:vAlign w:val="center"/>
          </w:tcPr>
          <w:p w14:paraId="7F033FF3">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交货期</w:t>
            </w:r>
          </w:p>
        </w:tc>
        <w:tc>
          <w:tcPr>
            <w:tcW w:w="1450" w:type="dxa"/>
            <w:vAlign w:val="center"/>
          </w:tcPr>
          <w:p w14:paraId="7F033FF4">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备注</w:t>
            </w:r>
          </w:p>
        </w:tc>
        <w:tc>
          <w:tcPr>
            <w:tcW w:w="1679" w:type="dxa"/>
            <w:vAlign w:val="center"/>
          </w:tcPr>
          <w:p w14:paraId="7F033FF5">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投标人代表签名</w:t>
            </w:r>
          </w:p>
        </w:tc>
      </w:tr>
      <w:tr w14:paraId="7F033FF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F033FF7">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260" w:type="dxa"/>
            <w:vAlign w:val="center"/>
          </w:tcPr>
          <w:p w14:paraId="7F033FF8">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134" w:type="dxa"/>
            <w:vAlign w:val="center"/>
          </w:tcPr>
          <w:p w14:paraId="7F033FF9">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008" w:type="dxa"/>
            <w:tcBorders>
              <w:right w:val="single" w:color="auto" w:sz="4" w:space="0"/>
            </w:tcBorders>
            <w:vAlign w:val="center"/>
          </w:tcPr>
          <w:p w14:paraId="7F033FFA">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755" w:type="dxa"/>
            <w:tcBorders>
              <w:left w:val="single" w:color="auto" w:sz="4" w:space="0"/>
            </w:tcBorders>
            <w:vAlign w:val="center"/>
          </w:tcPr>
          <w:p w14:paraId="7F033FFB">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834" w:type="dxa"/>
            <w:vAlign w:val="center"/>
          </w:tcPr>
          <w:p w14:paraId="7F033FFC">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450" w:type="dxa"/>
            <w:vAlign w:val="center"/>
          </w:tcPr>
          <w:p w14:paraId="7F033FFD">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679" w:type="dxa"/>
            <w:vAlign w:val="center"/>
          </w:tcPr>
          <w:p w14:paraId="7F033FFE">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r>
      <w:tr w14:paraId="7F03400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F034000">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260" w:type="dxa"/>
            <w:vAlign w:val="center"/>
          </w:tcPr>
          <w:p w14:paraId="7F034001">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134" w:type="dxa"/>
            <w:vAlign w:val="center"/>
          </w:tcPr>
          <w:p w14:paraId="7F034002">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008" w:type="dxa"/>
            <w:tcBorders>
              <w:right w:val="single" w:color="auto" w:sz="4" w:space="0"/>
            </w:tcBorders>
            <w:vAlign w:val="center"/>
          </w:tcPr>
          <w:p w14:paraId="7F034003">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755" w:type="dxa"/>
            <w:tcBorders>
              <w:left w:val="single" w:color="auto" w:sz="4" w:space="0"/>
            </w:tcBorders>
            <w:vAlign w:val="center"/>
          </w:tcPr>
          <w:p w14:paraId="7F034004">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834" w:type="dxa"/>
            <w:vAlign w:val="center"/>
          </w:tcPr>
          <w:p w14:paraId="7F034005">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450" w:type="dxa"/>
            <w:vAlign w:val="center"/>
          </w:tcPr>
          <w:p w14:paraId="7F034006">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679" w:type="dxa"/>
            <w:vAlign w:val="center"/>
          </w:tcPr>
          <w:p w14:paraId="7F034007">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r>
      <w:tr w14:paraId="7F0340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F034009">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260" w:type="dxa"/>
            <w:vAlign w:val="center"/>
          </w:tcPr>
          <w:p w14:paraId="7F03400A">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134" w:type="dxa"/>
            <w:vAlign w:val="center"/>
          </w:tcPr>
          <w:p w14:paraId="7F03400B">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008" w:type="dxa"/>
            <w:tcBorders>
              <w:right w:val="single" w:color="auto" w:sz="4" w:space="0"/>
            </w:tcBorders>
            <w:vAlign w:val="center"/>
          </w:tcPr>
          <w:p w14:paraId="7F03400C">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755" w:type="dxa"/>
            <w:tcBorders>
              <w:left w:val="single" w:color="auto" w:sz="4" w:space="0"/>
            </w:tcBorders>
            <w:vAlign w:val="center"/>
          </w:tcPr>
          <w:p w14:paraId="7F03400D">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834" w:type="dxa"/>
            <w:vAlign w:val="center"/>
          </w:tcPr>
          <w:p w14:paraId="7F03400E">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450" w:type="dxa"/>
            <w:vAlign w:val="center"/>
          </w:tcPr>
          <w:p w14:paraId="7F03400F">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679" w:type="dxa"/>
            <w:vAlign w:val="center"/>
          </w:tcPr>
          <w:p w14:paraId="7F034010">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r>
      <w:tr w14:paraId="7F0340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F034012">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260" w:type="dxa"/>
            <w:vAlign w:val="center"/>
          </w:tcPr>
          <w:p w14:paraId="7F034013">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134" w:type="dxa"/>
            <w:vAlign w:val="center"/>
          </w:tcPr>
          <w:p w14:paraId="7F034014">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008" w:type="dxa"/>
            <w:tcBorders>
              <w:right w:val="single" w:color="auto" w:sz="4" w:space="0"/>
            </w:tcBorders>
            <w:vAlign w:val="center"/>
          </w:tcPr>
          <w:p w14:paraId="7F034015">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755" w:type="dxa"/>
            <w:tcBorders>
              <w:left w:val="single" w:color="auto" w:sz="4" w:space="0"/>
            </w:tcBorders>
            <w:vAlign w:val="center"/>
          </w:tcPr>
          <w:p w14:paraId="7F034016">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834" w:type="dxa"/>
            <w:vAlign w:val="center"/>
          </w:tcPr>
          <w:p w14:paraId="7F034017">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450" w:type="dxa"/>
            <w:vAlign w:val="center"/>
          </w:tcPr>
          <w:p w14:paraId="7F034018">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679" w:type="dxa"/>
            <w:vAlign w:val="center"/>
          </w:tcPr>
          <w:p w14:paraId="7F034019">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r>
      <w:tr w14:paraId="7F0340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0" w:hRule="exact"/>
          <w:jc w:val="center"/>
        </w:trPr>
        <w:tc>
          <w:tcPr>
            <w:tcW w:w="433" w:type="dxa"/>
            <w:vAlign w:val="center"/>
          </w:tcPr>
          <w:p w14:paraId="7F03401B">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260" w:type="dxa"/>
            <w:vAlign w:val="center"/>
          </w:tcPr>
          <w:p w14:paraId="7F03401C">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134" w:type="dxa"/>
            <w:vAlign w:val="center"/>
          </w:tcPr>
          <w:p w14:paraId="7F03401D">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3008" w:type="dxa"/>
            <w:tcBorders>
              <w:right w:val="single" w:color="auto" w:sz="4" w:space="0"/>
            </w:tcBorders>
            <w:vAlign w:val="center"/>
          </w:tcPr>
          <w:p w14:paraId="7F03401E">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755" w:type="dxa"/>
            <w:tcBorders>
              <w:left w:val="single" w:color="auto" w:sz="4" w:space="0"/>
            </w:tcBorders>
            <w:vAlign w:val="center"/>
          </w:tcPr>
          <w:p w14:paraId="7F03401F">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834" w:type="dxa"/>
            <w:vAlign w:val="center"/>
          </w:tcPr>
          <w:p w14:paraId="7F034020">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450" w:type="dxa"/>
            <w:vAlign w:val="center"/>
          </w:tcPr>
          <w:p w14:paraId="7F034021">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c>
          <w:tcPr>
            <w:tcW w:w="1679" w:type="dxa"/>
            <w:vAlign w:val="center"/>
          </w:tcPr>
          <w:p w14:paraId="7F034022">
            <w:pPr>
              <w:autoSpaceDE w:val="0"/>
              <w:autoSpaceDN w:val="0"/>
              <w:adjustRightInd w:val="0"/>
              <w:snapToGrid w:val="0"/>
              <w:jc w:val="left"/>
              <w:rPr>
                <w:rFonts w:hint="eastAsia" w:ascii="宋体" w:hAnsi="宋体" w:cs="宋体"/>
                <w:b w:val="0"/>
                <w:bCs/>
                <w:snapToGrid w:val="0"/>
                <w:color w:val="auto"/>
                <w:kern w:val="0"/>
                <w:sz w:val="28"/>
                <w:szCs w:val="28"/>
                <w:highlight w:val="none"/>
              </w:rPr>
            </w:pPr>
          </w:p>
        </w:tc>
      </w:tr>
      <w:tr w14:paraId="7F03402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7F034024">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最高限价</w:t>
            </w:r>
          </w:p>
        </w:tc>
        <w:tc>
          <w:tcPr>
            <w:tcW w:w="10860" w:type="dxa"/>
            <w:gridSpan w:val="6"/>
            <w:tcBorders>
              <w:bottom w:val="single" w:color="auto" w:sz="4" w:space="0"/>
            </w:tcBorders>
            <w:vAlign w:val="center"/>
          </w:tcPr>
          <w:p w14:paraId="7F034025">
            <w:pPr>
              <w:autoSpaceDE w:val="0"/>
              <w:autoSpaceDN w:val="0"/>
              <w:adjustRightInd w:val="0"/>
              <w:snapToGrid w:val="0"/>
              <w:jc w:val="left"/>
              <w:rPr>
                <w:rFonts w:hint="eastAsia" w:ascii="宋体" w:hAnsi="宋体" w:cs="宋体"/>
                <w:b w:val="0"/>
                <w:bCs/>
                <w:snapToGrid w:val="0"/>
                <w:color w:val="auto"/>
                <w:kern w:val="0"/>
                <w:szCs w:val="21"/>
                <w:highlight w:val="none"/>
              </w:rPr>
            </w:pPr>
          </w:p>
        </w:tc>
      </w:tr>
      <w:tr w14:paraId="7F03402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1" w:hRule="exact"/>
          <w:jc w:val="center"/>
        </w:trPr>
        <w:tc>
          <w:tcPr>
            <w:tcW w:w="3693" w:type="dxa"/>
            <w:gridSpan w:val="2"/>
            <w:tcBorders>
              <w:bottom w:val="single" w:color="auto" w:sz="4" w:space="0"/>
            </w:tcBorders>
            <w:vAlign w:val="center"/>
          </w:tcPr>
          <w:p w14:paraId="7F034027">
            <w:pPr>
              <w:autoSpaceDE w:val="0"/>
              <w:autoSpaceDN w:val="0"/>
              <w:adjustRightInd w:val="0"/>
              <w:snapToGrid w:val="0"/>
              <w:jc w:val="center"/>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相关选项抽取情况</w:t>
            </w:r>
          </w:p>
        </w:tc>
        <w:tc>
          <w:tcPr>
            <w:tcW w:w="10860" w:type="dxa"/>
            <w:gridSpan w:val="6"/>
            <w:tcBorders>
              <w:bottom w:val="single" w:color="auto" w:sz="4" w:space="0"/>
            </w:tcBorders>
            <w:vAlign w:val="center"/>
          </w:tcPr>
          <w:p w14:paraId="7F034028">
            <w:pPr>
              <w:autoSpaceDE w:val="0"/>
              <w:autoSpaceDN w:val="0"/>
              <w:adjustRightInd w:val="0"/>
              <w:snapToGrid w:val="0"/>
              <w:ind w:firstLine="210" w:firstLineChars="1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□抽取的评标基准价计算方式为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□抽取的下浮系数N为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；□抽取的权重M为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w:t>
            </w:r>
          </w:p>
        </w:tc>
      </w:tr>
      <w:tr w14:paraId="7F03402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6" w:hRule="exact"/>
          <w:jc w:val="center"/>
        </w:trPr>
        <w:tc>
          <w:tcPr>
            <w:tcW w:w="3693" w:type="dxa"/>
            <w:gridSpan w:val="2"/>
            <w:tcBorders>
              <w:top w:val="single" w:color="auto" w:sz="4" w:space="0"/>
            </w:tcBorders>
            <w:vAlign w:val="center"/>
          </w:tcPr>
          <w:p w14:paraId="7F03402A">
            <w:pPr>
              <w:autoSpaceDE w:val="0"/>
              <w:autoSpaceDN w:val="0"/>
              <w:adjustRightInd w:val="0"/>
              <w:snapToGrid w:val="0"/>
              <w:jc w:val="center"/>
              <w:rPr>
                <w:rFonts w:ascii="宋体" w:hAnsi="宋体" w:cs="宋体"/>
                <w:b w:val="0"/>
                <w:bCs/>
                <w:color w:val="auto"/>
                <w:szCs w:val="21"/>
                <w:highlight w:val="none"/>
              </w:rPr>
            </w:pPr>
            <w:r>
              <w:rPr>
                <w:rFonts w:hint="eastAsia" w:ascii="宋体" w:hAnsi="宋体" w:cs="宋体"/>
                <w:b w:val="0"/>
                <w:bCs/>
                <w:color w:val="auto"/>
                <w:szCs w:val="21"/>
                <w:highlight w:val="none"/>
              </w:rPr>
              <w:t>异常情况</w:t>
            </w:r>
          </w:p>
        </w:tc>
        <w:tc>
          <w:tcPr>
            <w:tcW w:w="10860" w:type="dxa"/>
            <w:gridSpan w:val="6"/>
            <w:tcBorders>
              <w:top w:val="single" w:color="auto" w:sz="4" w:space="0"/>
            </w:tcBorders>
            <w:vAlign w:val="center"/>
          </w:tcPr>
          <w:p w14:paraId="7F03402B">
            <w:pPr>
              <w:autoSpaceDE w:val="0"/>
              <w:autoSpaceDN w:val="0"/>
              <w:adjustRightInd w:val="0"/>
              <w:snapToGrid w:val="0"/>
              <w:jc w:val="left"/>
              <w:rPr>
                <w:rFonts w:hint="eastAsia" w:ascii="宋体" w:hAnsi="宋体" w:cs="宋体"/>
                <w:b w:val="0"/>
                <w:bCs/>
                <w:i/>
                <w:color w:val="auto"/>
                <w:kern w:val="0"/>
                <w:szCs w:val="21"/>
                <w:highlight w:val="none"/>
              </w:rPr>
            </w:pPr>
          </w:p>
        </w:tc>
      </w:tr>
    </w:tbl>
    <w:p w14:paraId="7F03402D">
      <w:pPr>
        <w:tabs>
          <w:tab w:val="left" w:pos="2740"/>
          <w:tab w:val="left" w:pos="4940"/>
          <w:tab w:val="left" w:pos="7140"/>
        </w:tabs>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 w:val="24"/>
          <w:highlight w:val="none"/>
        </w:rPr>
        <w:t>（注：</w:t>
      </w:r>
      <w:r>
        <w:rPr>
          <w:rFonts w:hint="eastAsia" w:ascii="宋体" w:hAnsi="宋体" w:cs="宋体"/>
          <w:b w:val="0"/>
          <w:bCs/>
          <w:snapToGrid w:val="0"/>
          <w:color w:val="auto"/>
          <w:kern w:val="0"/>
          <w:szCs w:val="21"/>
          <w:highlight w:val="none"/>
        </w:rPr>
        <w:t>招标人、招标代理机构、监标人栏显示单位名称，主持人、记录人栏显示人名。</w:t>
      </w:r>
      <w:r>
        <w:rPr>
          <w:rFonts w:hint="eastAsia" w:ascii="宋体" w:hAnsi="宋体" w:cs="宋体"/>
          <w:b w:val="0"/>
          <w:bCs/>
          <w:snapToGrid w:val="0"/>
          <w:color w:val="auto"/>
          <w:kern w:val="0"/>
          <w:sz w:val="24"/>
          <w:highlight w:val="none"/>
        </w:rPr>
        <w:t>）</w:t>
      </w:r>
    </w:p>
    <w:p w14:paraId="7F03402E">
      <w:pPr>
        <w:tabs>
          <w:tab w:val="left" w:pos="2740"/>
          <w:tab w:val="left" w:pos="4940"/>
          <w:tab w:val="left" w:pos="6930"/>
        </w:tabs>
        <w:autoSpaceDE w:val="0"/>
        <w:autoSpaceDN w:val="0"/>
        <w:adjustRightInd w:val="0"/>
        <w:snapToGrid w:val="0"/>
        <w:spacing w:line="360" w:lineRule="auto"/>
        <w:jc w:val="left"/>
        <w:rPr>
          <w:rFonts w:hint="eastAsia" w:ascii="宋体" w:hAnsi="宋体" w:cs="宋体"/>
          <w:b w:val="0"/>
          <w:bCs/>
          <w:snapToGrid w:val="0"/>
          <w:color w:val="auto"/>
          <w:w w:val="200"/>
          <w:kern w:val="0"/>
          <w:szCs w:val="21"/>
          <w:highlight w:val="none"/>
          <w:u w:val="single"/>
        </w:rPr>
      </w:pPr>
      <w:r>
        <w:rPr>
          <w:rFonts w:hint="eastAsia" w:ascii="宋体" w:hAnsi="宋体" w:cs="宋体"/>
          <w:b w:val="0"/>
          <w:bCs/>
          <w:snapToGrid w:val="0"/>
          <w:color w:val="auto"/>
          <w:kern w:val="0"/>
          <w:szCs w:val="21"/>
          <w:highlight w:val="none"/>
        </w:rPr>
        <w:t>招标人：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招标代理机构：</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监标人：</w:t>
      </w:r>
      <w:r>
        <w:rPr>
          <w:rFonts w:hint="eastAsia" w:ascii="宋体" w:hAnsi="宋体" w:cs="宋体"/>
          <w:b w:val="0"/>
          <w:bCs/>
          <w:snapToGrid w:val="0"/>
          <w:color w:val="auto"/>
          <w:w w:val="200"/>
          <w:kern w:val="0"/>
          <w:szCs w:val="21"/>
          <w:highlight w:val="none"/>
          <w:u w:val="single"/>
        </w:rPr>
        <w:t xml:space="preserve">           </w:t>
      </w:r>
    </w:p>
    <w:p w14:paraId="7F03402F">
      <w:pPr>
        <w:tabs>
          <w:tab w:val="left" w:pos="2740"/>
          <w:tab w:val="left" w:pos="4940"/>
          <w:tab w:val="left" w:pos="6930"/>
        </w:tabs>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主持人：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记录人：</w:t>
      </w:r>
      <w:r>
        <w:rPr>
          <w:rFonts w:hint="eastAsia" w:ascii="宋体" w:hAnsi="宋体" w:cs="宋体"/>
          <w:b w:val="0"/>
          <w:bCs/>
          <w:snapToGrid w:val="0"/>
          <w:color w:val="auto"/>
          <w:w w:val="200"/>
          <w:kern w:val="0"/>
          <w:szCs w:val="21"/>
          <w:highlight w:val="none"/>
          <w:u w:val="single"/>
        </w:rPr>
        <w:t xml:space="preserve">                </w:t>
      </w:r>
    </w:p>
    <w:p w14:paraId="7F034030">
      <w:pPr>
        <w:autoSpaceDE w:val="0"/>
        <w:autoSpaceDN w:val="0"/>
        <w:adjustRightInd w:val="0"/>
        <w:snapToGrid w:val="0"/>
        <w:spacing w:before="48" w:beforeLines="20" w:line="360" w:lineRule="auto"/>
        <w:jc w:val="right"/>
        <w:rPr>
          <w:rFonts w:hint="eastAsia" w:ascii="宋体" w:hAnsi="宋体" w:cs="宋体"/>
          <w:b w:val="0"/>
          <w:bCs/>
          <w:snapToGrid w:val="0"/>
          <w:color w:val="auto"/>
          <w:kern w:val="0"/>
          <w:sz w:val="24"/>
          <w:highlight w:val="none"/>
        </w:rPr>
      </w:pPr>
      <w:r>
        <w:rPr>
          <w:rFonts w:hint="eastAsia" w:ascii="宋体" w:hAnsi="宋体" w:cs="宋体"/>
          <w:b w:val="0"/>
          <w:bCs/>
          <w:snapToGrid w:val="0"/>
          <w:color w:val="auto"/>
          <w:kern w:val="0"/>
          <w:sz w:val="24"/>
          <w:highlight w:val="none"/>
        </w:rPr>
        <w:t xml:space="preserve">                                       </w:t>
      </w: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年</w:t>
      </w: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月</w:t>
      </w: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日</w:t>
      </w:r>
    </w:p>
    <w:p w14:paraId="7F034031">
      <w:pPr>
        <w:autoSpaceDE w:val="0"/>
        <w:autoSpaceDN w:val="0"/>
        <w:adjustRightInd w:val="0"/>
        <w:snapToGrid w:val="0"/>
        <w:spacing w:before="48" w:beforeLines="20" w:line="360" w:lineRule="auto"/>
        <w:rPr>
          <w:rFonts w:hint="eastAsia" w:ascii="宋体" w:hAnsi="宋体" w:cs="宋体"/>
          <w:b w:val="0"/>
          <w:bCs/>
          <w:snapToGrid w:val="0"/>
          <w:color w:val="auto"/>
          <w:kern w:val="0"/>
          <w:sz w:val="24"/>
          <w:highlight w:val="none"/>
        </w:rPr>
      </w:pPr>
      <w:r>
        <w:rPr>
          <w:rFonts w:hint="eastAsia" w:ascii="宋体" w:hAnsi="宋体" w:cs="宋体"/>
          <w:b w:val="0"/>
          <w:bCs/>
          <w:snapToGrid w:val="0"/>
          <w:color w:val="auto"/>
          <w:kern w:val="0"/>
          <w:sz w:val="24"/>
          <w:highlight w:val="none"/>
        </w:rPr>
        <w:br w:type="page"/>
      </w:r>
      <w:r>
        <w:rPr>
          <w:rFonts w:hint="eastAsia" w:ascii="宋体" w:hAnsi="宋体" w:cs="宋体"/>
          <w:b w:val="0"/>
          <w:bCs/>
          <w:snapToGrid w:val="0"/>
          <w:color w:val="auto"/>
          <w:kern w:val="0"/>
          <w:highlight w:val="none"/>
        </w:rPr>
        <w:t>附表二：纸质投标保函递交情况一览表（如有）</w:t>
      </w:r>
    </w:p>
    <w:p w14:paraId="7F034032">
      <w:pPr>
        <w:autoSpaceDE w:val="0"/>
        <w:autoSpaceDN w:val="0"/>
        <w:adjustRightInd w:val="0"/>
        <w:snapToGrid w:val="0"/>
        <w:spacing w:before="48" w:beforeLines="20" w:line="360" w:lineRule="auto"/>
        <w:jc w:val="center"/>
        <w:rPr>
          <w:rFonts w:hint="eastAsia" w:ascii="宋体" w:hAnsi="宋体" w:cs="宋体"/>
          <w:b w:val="0"/>
          <w:bCs/>
          <w:color w:val="auto"/>
          <w:szCs w:val="21"/>
          <w:highlight w:val="none"/>
        </w:rPr>
      </w:pPr>
      <w:r>
        <w:rPr>
          <w:rFonts w:hint="eastAsia" w:ascii="宋体" w:hAnsi="宋体" w:cs="宋体"/>
          <w:b w:val="0"/>
          <w:bCs/>
          <w:snapToGrid w:val="0"/>
          <w:color w:val="auto"/>
          <w:w w:val="198"/>
          <w:kern w:val="0"/>
          <w:sz w:val="28"/>
          <w:szCs w:val="28"/>
          <w:highlight w:val="none"/>
          <w:u w:val="single"/>
        </w:rPr>
        <w:t xml:space="preserve">              </w:t>
      </w:r>
      <w:r>
        <w:rPr>
          <w:rFonts w:hint="eastAsia" w:ascii="宋体" w:hAnsi="宋体" w:cs="宋体"/>
          <w:b w:val="0"/>
          <w:bCs/>
          <w:snapToGrid w:val="0"/>
          <w:color w:val="auto"/>
          <w:kern w:val="0"/>
          <w:sz w:val="28"/>
          <w:szCs w:val="28"/>
          <w:highlight w:val="none"/>
          <w:u w:val="single"/>
        </w:rPr>
        <w:t xml:space="preserve"> </w:t>
      </w:r>
      <w:r>
        <w:rPr>
          <w:rFonts w:hint="eastAsia" w:ascii="宋体" w:hAnsi="宋体" w:cs="宋体"/>
          <w:b w:val="0"/>
          <w:bCs/>
          <w:snapToGrid w:val="0"/>
          <w:color w:val="auto"/>
          <w:w w:val="99"/>
          <w:kern w:val="0"/>
          <w:sz w:val="28"/>
          <w:szCs w:val="28"/>
          <w:highlight w:val="none"/>
          <w:u w:val="single"/>
        </w:rPr>
        <w:t>（项目名称）纸质投标保函递交情况一览表</w:t>
      </w:r>
    </w:p>
    <w:p w14:paraId="7F034033">
      <w:pPr>
        <w:autoSpaceDE w:val="0"/>
        <w:autoSpaceDN w:val="0"/>
        <w:adjustRightInd w:val="0"/>
        <w:snapToGrid w:val="0"/>
        <w:spacing w:before="48" w:beforeLines="20" w:line="360" w:lineRule="auto"/>
        <w:ind w:firstLine="8610" w:firstLineChars="4100"/>
        <w:rPr>
          <w:rFonts w:hint="eastAsia" w:ascii="宋体" w:hAnsi="宋体" w:cs="宋体"/>
          <w:b w:val="0"/>
          <w:bCs/>
          <w:color w:val="auto"/>
          <w:szCs w:val="21"/>
          <w:highlight w:val="none"/>
        </w:rPr>
      </w:pPr>
      <w:r>
        <w:rPr>
          <w:rFonts w:hint="eastAsia" w:ascii="宋体" w:hAnsi="宋体" w:cs="宋体"/>
          <w:b w:val="0"/>
          <w:bCs/>
          <w:snapToGrid w:val="0"/>
          <w:color w:val="auto"/>
          <w:kern w:val="0"/>
          <w:szCs w:val="21"/>
          <w:highlight w:val="none"/>
        </w:rPr>
        <w:t>投标截止时间：</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时</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分</w:t>
      </w:r>
    </w:p>
    <w:tbl>
      <w:tblPr>
        <w:tblStyle w:val="46"/>
        <w:tblW w:w="14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476"/>
        <w:gridCol w:w="2581"/>
        <w:gridCol w:w="2581"/>
        <w:gridCol w:w="2496"/>
        <w:gridCol w:w="2653"/>
      </w:tblGrid>
      <w:tr w14:paraId="7F03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vAlign w:val="center"/>
          </w:tcPr>
          <w:p w14:paraId="7F034034">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序号</w:t>
            </w:r>
          </w:p>
        </w:tc>
        <w:tc>
          <w:tcPr>
            <w:tcW w:w="3476" w:type="dxa"/>
            <w:vAlign w:val="center"/>
          </w:tcPr>
          <w:p w14:paraId="7F034035">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投标人</w:t>
            </w:r>
          </w:p>
        </w:tc>
        <w:tc>
          <w:tcPr>
            <w:tcW w:w="2581" w:type="dxa"/>
            <w:vAlign w:val="center"/>
          </w:tcPr>
          <w:p w14:paraId="7F034036">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保函开具机构</w:t>
            </w:r>
          </w:p>
        </w:tc>
        <w:tc>
          <w:tcPr>
            <w:tcW w:w="2581" w:type="dxa"/>
            <w:vAlign w:val="center"/>
          </w:tcPr>
          <w:p w14:paraId="7F034037">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金额（元）</w:t>
            </w:r>
          </w:p>
        </w:tc>
        <w:tc>
          <w:tcPr>
            <w:tcW w:w="2496" w:type="dxa"/>
            <w:vAlign w:val="center"/>
          </w:tcPr>
          <w:p w14:paraId="7F034038">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递交时间</w:t>
            </w:r>
          </w:p>
        </w:tc>
        <w:tc>
          <w:tcPr>
            <w:tcW w:w="2653" w:type="dxa"/>
            <w:vAlign w:val="center"/>
          </w:tcPr>
          <w:p w14:paraId="7F034039">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备注</w:t>
            </w:r>
          </w:p>
        </w:tc>
      </w:tr>
      <w:tr w14:paraId="7F03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3B">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3C">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3D">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3E">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3F">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投标截止时间前</w:t>
            </w:r>
          </w:p>
        </w:tc>
        <w:tc>
          <w:tcPr>
            <w:tcW w:w="2653" w:type="dxa"/>
          </w:tcPr>
          <w:p w14:paraId="7F034040">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42">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43">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44">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45">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46">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47">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49">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4A">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4B">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4C">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4D">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4E">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50">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51">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52">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53">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54">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55">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trPr>
        <w:tc>
          <w:tcPr>
            <w:tcW w:w="732" w:type="dxa"/>
          </w:tcPr>
          <w:p w14:paraId="7F034057">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58">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59">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5A">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5B">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5C">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5E">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5F">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0">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1">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62">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63">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65">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66">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7">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8">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69">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6A">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6C">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6D">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E">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6F">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70">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71">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73">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74">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75">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76">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77">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78">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7A">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7B">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7C">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7D">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7E">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7F">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32" w:type="dxa"/>
          </w:tcPr>
          <w:p w14:paraId="7F034081">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82">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83">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84">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85">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86">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r w14:paraId="7F03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32" w:type="dxa"/>
          </w:tcPr>
          <w:p w14:paraId="7F034088">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3476" w:type="dxa"/>
          </w:tcPr>
          <w:p w14:paraId="7F034089">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8A">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581" w:type="dxa"/>
          </w:tcPr>
          <w:p w14:paraId="7F03408B">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c>
          <w:tcPr>
            <w:tcW w:w="2496" w:type="dxa"/>
            <w:vAlign w:val="center"/>
          </w:tcPr>
          <w:p w14:paraId="7F03408C">
            <w:pPr>
              <w:autoSpaceDE w:val="0"/>
              <w:autoSpaceDN w:val="0"/>
              <w:adjustRightInd w:val="0"/>
              <w:snapToGrid w:val="0"/>
              <w:spacing w:before="48" w:beforeLines="20"/>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w:t>
            </w:r>
          </w:p>
        </w:tc>
        <w:tc>
          <w:tcPr>
            <w:tcW w:w="2653" w:type="dxa"/>
          </w:tcPr>
          <w:p w14:paraId="7F03408D">
            <w:pPr>
              <w:autoSpaceDE w:val="0"/>
              <w:autoSpaceDN w:val="0"/>
              <w:adjustRightInd w:val="0"/>
              <w:snapToGrid w:val="0"/>
              <w:spacing w:before="48" w:beforeLines="20" w:line="360" w:lineRule="auto"/>
              <w:rPr>
                <w:rFonts w:hint="eastAsia" w:ascii="宋体" w:hAnsi="宋体" w:cs="宋体"/>
                <w:b w:val="0"/>
                <w:bCs/>
                <w:color w:val="auto"/>
                <w:szCs w:val="21"/>
                <w:highlight w:val="none"/>
              </w:rPr>
            </w:pPr>
          </w:p>
        </w:tc>
      </w:tr>
    </w:tbl>
    <w:p w14:paraId="7F03408F">
      <w:pPr>
        <w:tabs>
          <w:tab w:val="left" w:pos="2740"/>
          <w:tab w:val="left" w:pos="4940"/>
          <w:tab w:val="left" w:pos="6930"/>
        </w:tabs>
        <w:autoSpaceDE w:val="0"/>
        <w:autoSpaceDN w:val="0"/>
        <w:adjustRightInd w:val="0"/>
        <w:snapToGrid w:val="0"/>
        <w:spacing w:line="360" w:lineRule="auto"/>
        <w:ind w:firstLine="42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 w:val="24"/>
          <w:highlight w:val="none"/>
        </w:rPr>
        <w:t>（注：</w:t>
      </w:r>
      <w:r>
        <w:rPr>
          <w:rFonts w:hint="eastAsia" w:ascii="宋体" w:hAnsi="宋体" w:cs="宋体"/>
          <w:b w:val="0"/>
          <w:bCs/>
          <w:snapToGrid w:val="0"/>
          <w:color w:val="auto"/>
          <w:kern w:val="0"/>
          <w:szCs w:val="21"/>
          <w:highlight w:val="none"/>
        </w:rPr>
        <w:t>招标人、监标人栏显示单位名称，记录人栏显示人名。</w:t>
      </w:r>
      <w:r>
        <w:rPr>
          <w:rFonts w:hint="eastAsia" w:ascii="宋体" w:hAnsi="宋体" w:cs="宋体"/>
          <w:b w:val="0"/>
          <w:bCs/>
          <w:snapToGrid w:val="0"/>
          <w:color w:val="auto"/>
          <w:kern w:val="0"/>
          <w:sz w:val="24"/>
          <w:highlight w:val="none"/>
        </w:rPr>
        <w:t>）</w:t>
      </w:r>
    </w:p>
    <w:p w14:paraId="7F034090">
      <w:pPr>
        <w:tabs>
          <w:tab w:val="left" w:pos="2740"/>
          <w:tab w:val="left" w:pos="4940"/>
          <w:tab w:val="left" w:pos="6930"/>
        </w:tabs>
        <w:autoSpaceDE w:val="0"/>
        <w:autoSpaceDN w:val="0"/>
        <w:adjustRightInd w:val="0"/>
        <w:snapToGrid w:val="0"/>
        <w:spacing w:line="360" w:lineRule="auto"/>
        <w:ind w:firstLine="420"/>
        <w:jc w:val="left"/>
        <w:rPr>
          <w:rFonts w:hint="eastAsia" w:ascii="宋体" w:hAnsi="宋体" w:cs="宋体"/>
          <w:b w:val="0"/>
          <w:bCs/>
          <w:snapToGrid w:val="0"/>
          <w:color w:val="auto"/>
          <w:w w:val="200"/>
          <w:kern w:val="0"/>
          <w:szCs w:val="21"/>
          <w:highlight w:val="none"/>
          <w:u w:val="single"/>
        </w:rPr>
      </w:pPr>
      <w:r>
        <w:rPr>
          <w:rFonts w:hint="eastAsia" w:ascii="宋体" w:hAnsi="宋体" w:cs="宋体"/>
          <w:b w:val="0"/>
          <w:bCs/>
          <w:snapToGrid w:val="0"/>
          <w:color w:val="auto"/>
          <w:kern w:val="0"/>
          <w:szCs w:val="21"/>
          <w:highlight w:val="none"/>
        </w:rPr>
        <w:t>招标人：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w w:val="200"/>
          <w:kern w:val="0"/>
          <w:szCs w:val="21"/>
          <w:highlight w:val="none"/>
        </w:rPr>
        <w:t xml:space="preserve">  </w:t>
      </w:r>
      <w:r>
        <w:rPr>
          <w:rFonts w:hint="eastAsia" w:ascii="宋体" w:hAnsi="宋体" w:cs="宋体"/>
          <w:b w:val="0"/>
          <w:bCs/>
          <w:snapToGrid w:val="0"/>
          <w:color w:val="auto"/>
          <w:kern w:val="0"/>
          <w:szCs w:val="21"/>
          <w:highlight w:val="none"/>
        </w:rPr>
        <w:t>监标人：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w w:val="200"/>
          <w:kern w:val="0"/>
          <w:szCs w:val="21"/>
          <w:highlight w:val="none"/>
        </w:rPr>
        <w:t xml:space="preserve">  </w:t>
      </w:r>
      <w:r>
        <w:rPr>
          <w:rFonts w:hint="eastAsia" w:ascii="宋体" w:hAnsi="宋体" w:cs="宋体"/>
          <w:b w:val="0"/>
          <w:bCs/>
          <w:snapToGrid w:val="0"/>
          <w:color w:val="auto"/>
          <w:kern w:val="0"/>
          <w:szCs w:val="21"/>
          <w:highlight w:val="none"/>
        </w:rPr>
        <w:t>记录人：</w:t>
      </w:r>
      <w:r>
        <w:rPr>
          <w:rFonts w:hint="eastAsia" w:ascii="宋体" w:hAnsi="宋体" w:cs="宋体"/>
          <w:b w:val="0"/>
          <w:bCs/>
          <w:snapToGrid w:val="0"/>
          <w:color w:val="auto"/>
          <w:w w:val="200"/>
          <w:kern w:val="0"/>
          <w:szCs w:val="21"/>
          <w:highlight w:val="none"/>
          <w:u w:val="single"/>
        </w:rPr>
        <w:t xml:space="preserve">      </w:t>
      </w:r>
    </w:p>
    <w:p w14:paraId="7F034091">
      <w:pPr>
        <w:pStyle w:val="2"/>
        <w:jc w:val="right"/>
        <w:rPr>
          <w:rFonts w:ascii="宋体" w:hAnsi="宋体" w:cs="宋体"/>
          <w:b w:val="0"/>
          <w:bCs/>
          <w:color w:val="auto"/>
          <w:highlight w:val="none"/>
        </w:rPr>
      </w:pP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年</w:t>
      </w: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月</w:t>
      </w:r>
      <w:r>
        <w:rPr>
          <w:rFonts w:hint="eastAsia" w:ascii="宋体" w:hAnsi="宋体" w:cs="宋体"/>
          <w:b w:val="0"/>
          <w:bCs/>
          <w:snapToGrid w:val="0"/>
          <w:color w:val="auto"/>
          <w:kern w:val="0"/>
          <w:sz w:val="24"/>
          <w:highlight w:val="none"/>
          <w:u w:val="single"/>
        </w:rPr>
        <w:t xml:space="preserve">    </w:t>
      </w:r>
      <w:r>
        <w:rPr>
          <w:rFonts w:hint="eastAsia" w:ascii="宋体" w:hAnsi="宋体" w:cs="宋体"/>
          <w:b w:val="0"/>
          <w:bCs/>
          <w:snapToGrid w:val="0"/>
          <w:color w:val="auto"/>
          <w:kern w:val="0"/>
          <w:sz w:val="24"/>
          <w:highlight w:val="none"/>
        </w:rPr>
        <w:t>日</w:t>
      </w:r>
    </w:p>
    <w:p w14:paraId="7F034092">
      <w:pPr>
        <w:autoSpaceDE w:val="0"/>
        <w:autoSpaceDN w:val="0"/>
        <w:adjustRightInd w:val="0"/>
        <w:snapToGrid w:val="0"/>
        <w:spacing w:before="48" w:beforeLines="20" w:line="360" w:lineRule="auto"/>
        <w:rPr>
          <w:rFonts w:hint="eastAsia" w:ascii="宋体" w:hAnsi="宋体" w:cs="宋体"/>
          <w:b w:val="0"/>
          <w:bCs/>
          <w:snapToGrid w:val="0"/>
          <w:color w:val="auto"/>
          <w:kern w:val="0"/>
          <w:sz w:val="24"/>
          <w:highlight w:val="none"/>
        </w:rPr>
        <w:sectPr>
          <w:pgSz w:w="16838" w:h="11906" w:orient="landscape"/>
          <w:pgMar w:top="1304" w:right="1134" w:bottom="1304" w:left="1304" w:header="851" w:footer="992" w:gutter="0"/>
          <w:cols w:space="720" w:num="1"/>
          <w:docGrid w:linePitch="312" w:charSpace="0"/>
        </w:sectPr>
      </w:pPr>
    </w:p>
    <w:p w14:paraId="7F034093">
      <w:pPr>
        <w:autoSpaceDE w:val="0"/>
        <w:autoSpaceDN w:val="0"/>
        <w:adjustRightInd w:val="0"/>
        <w:snapToGrid w:val="0"/>
        <w:spacing w:before="62" w:beforeLines="20" w:line="360" w:lineRule="auto"/>
        <w:jc w:val="right"/>
        <w:rPr>
          <w:rFonts w:hint="eastAsia" w:ascii="宋体" w:hAnsi="宋体" w:cs="宋体"/>
          <w:b w:val="0"/>
          <w:bCs/>
          <w:snapToGrid w:val="0"/>
          <w:color w:val="auto"/>
          <w:kern w:val="0"/>
          <w:sz w:val="24"/>
          <w:highlight w:val="none"/>
        </w:rPr>
      </w:pPr>
    </w:p>
    <w:p w14:paraId="7F034094">
      <w:pPr>
        <w:autoSpaceDE w:val="0"/>
        <w:autoSpaceDN w:val="0"/>
        <w:adjustRightInd w:val="0"/>
        <w:snapToGrid w:val="0"/>
        <w:spacing w:line="360" w:lineRule="auto"/>
        <w:jc w:val="left"/>
        <w:rPr>
          <w:rFonts w:hint="eastAsia" w:ascii="宋体" w:hAnsi="宋体" w:cs="宋体"/>
          <w:b w:val="0"/>
          <w:bCs/>
          <w:snapToGrid w:val="0"/>
          <w:color w:val="auto"/>
          <w:kern w:val="0"/>
          <w:highlight w:val="none"/>
        </w:rPr>
      </w:pPr>
      <w:r>
        <w:rPr>
          <w:rFonts w:hint="eastAsia" w:ascii="宋体" w:hAnsi="宋体" w:cs="宋体"/>
          <w:b w:val="0"/>
          <w:bCs/>
          <w:snapToGrid w:val="0"/>
          <w:color w:val="auto"/>
          <w:kern w:val="0"/>
          <w:highlight w:val="none"/>
        </w:rPr>
        <w:t>附表三：问题澄清通知</w:t>
      </w:r>
    </w:p>
    <w:p w14:paraId="7F034095">
      <w:pPr>
        <w:autoSpaceDE w:val="0"/>
        <w:autoSpaceDN w:val="0"/>
        <w:adjustRightInd w:val="0"/>
        <w:snapToGrid w:val="0"/>
        <w:spacing w:line="360" w:lineRule="auto"/>
        <w:jc w:val="left"/>
        <w:rPr>
          <w:rFonts w:hint="eastAsia" w:ascii="宋体" w:hAnsi="宋体" w:cs="宋体"/>
          <w:b w:val="0"/>
          <w:bCs/>
          <w:snapToGrid w:val="0"/>
          <w:color w:val="auto"/>
          <w:kern w:val="0"/>
          <w:sz w:val="24"/>
          <w:highlight w:val="none"/>
        </w:rPr>
      </w:pPr>
    </w:p>
    <w:p w14:paraId="7F034096">
      <w:pPr>
        <w:autoSpaceDE w:val="0"/>
        <w:autoSpaceDN w:val="0"/>
        <w:adjustRightInd w:val="0"/>
        <w:snapToGrid w:val="0"/>
        <w:spacing w:line="360" w:lineRule="auto"/>
        <w:jc w:val="center"/>
        <w:rPr>
          <w:rFonts w:hint="eastAsia" w:ascii="宋体" w:hAnsi="宋体" w:cs="宋体"/>
          <w:b w:val="0"/>
          <w:bCs/>
          <w:snapToGrid w:val="0"/>
          <w:color w:val="auto"/>
          <w:w w:val="99"/>
          <w:kern w:val="0"/>
          <w:sz w:val="32"/>
          <w:szCs w:val="32"/>
          <w:highlight w:val="none"/>
        </w:rPr>
      </w:pPr>
      <w:r>
        <w:rPr>
          <w:rFonts w:hint="eastAsia" w:ascii="宋体" w:hAnsi="宋体" w:cs="宋体"/>
          <w:b w:val="0"/>
          <w:bCs/>
          <w:snapToGrid w:val="0"/>
          <w:color w:val="auto"/>
          <w:w w:val="99"/>
          <w:kern w:val="0"/>
          <w:sz w:val="32"/>
          <w:szCs w:val="32"/>
          <w:highlight w:val="none"/>
        </w:rPr>
        <w:t>问题澄清通知</w:t>
      </w:r>
    </w:p>
    <w:p w14:paraId="7F034097">
      <w:pPr>
        <w:autoSpaceDE w:val="0"/>
        <w:autoSpaceDN w:val="0"/>
        <w:adjustRightInd w:val="0"/>
        <w:snapToGrid w:val="0"/>
        <w:spacing w:line="360" w:lineRule="auto"/>
        <w:jc w:val="left"/>
        <w:rPr>
          <w:rFonts w:hint="eastAsia" w:ascii="宋体" w:hAnsi="宋体" w:cs="宋体"/>
          <w:b w:val="0"/>
          <w:bCs/>
          <w:snapToGrid w:val="0"/>
          <w:color w:val="auto"/>
          <w:kern w:val="0"/>
          <w:sz w:val="24"/>
          <w:highlight w:val="none"/>
        </w:rPr>
      </w:pPr>
    </w:p>
    <w:p w14:paraId="7F034098">
      <w:pPr>
        <w:autoSpaceDE w:val="0"/>
        <w:autoSpaceDN w:val="0"/>
        <w:adjustRightInd w:val="0"/>
        <w:snapToGrid w:val="0"/>
        <w:spacing w:line="360" w:lineRule="auto"/>
        <w:ind w:firstLine="3255" w:firstLineChars="155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编号：</w:t>
      </w:r>
      <w:r>
        <w:rPr>
          <w:rFonts w:hint="eastAsia" w:ascii="宋体" w:hAnsi="宋体" w:cs="宋体"/>
          <w:b w:val="0"/>
          <w:bCs/>
          <w:snapToGrid w:val="0"/>
          <w:color w:val="auto"/>
          <w:kern w:val="0"/>
          <w:szCs w:val="21"/>
          <w:highlight w:val="none"/>
          <w:u w:val="single"/>
        </w:rPr>
        <w:t xml:space="preserve">                     </w:t>
      </w:r>
    </w:p>
    <w:p w14:paraId="7F034099">
      <w:pPr>
        <w:autoSpaceDE w:val="0"/>
        <w:autoSpaceDN w:val="0"/>
        <w:adjustRightInd w:val="0"/>
        <w:snapToGrid w:val="0"/>
        <w:spacing w:line="360" w:lineRule="auto"/>
        <w:jc w:val="left"/>
        <w:rPr>
          <w:rFonts w:hint="eastAsia" w:ascii="宋体" w:hAnsi="宋体" w:cs="宋体"/>
          <w:b w:val="0"/>
          <w:bCs/>
          <w:snapToGrid w:val="0"/>
          <w:color w:val="auto"/>
          <w:kern w:val="0"/>
          <w:sz w:val="24"/>
          <w:highlight w:val="none"/>
        </w:rPr>
      </w:pPr>
    </w:p>
    <w:p w14:paraId="7F03409A">
      <w:pPr>
        <w:autoSpaceDE w:val="0"/>
        <w:autoSpaceDN w:val="0"/>
        <w:adjustRightInd w:val="0"/>
        <w:snapToGrid w:val="0"/>
        <w:spacing w:line="360" w:lineRule="auto"/>
        <w:rPr>
          <w:rFonts w:hint="eastAsia" w:ascii="宋体" w:hAnsi="宋体" w:cs="宋体"/>
          <w:b w:val="0"/>
          <w:bCs/>
          <w:snapToGrid w:val="0"/>
          <w:color w:val="auto"/>
          <w:kern w:val="0"/>
          <w:sz w:val="28"/>
          <w:szCs w:val="28"/>
          <w:highlight w:val="none"/>
        </w:rPr>
      </w:pPr>
    </w:p>
    <w:p w14:paraId="7F03409B">
      <w:pPr>
        <w:tabs>
          <w:tab w:val="left" w:pos="1580"/>
        </w:tabs>
        <w:autoSpaceDE w:val="0"/>
        <w:autoSpaceDN w:val="0"/>
        <w:adjustRightInd w:val="0"/>
        <w:snapToGrid w:val="0"/>
        <w:spacing w:line="48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（投标人名称）</w:t>
      </w:r>
      <w:r>
        <w:rPr>
          <w:rFonts w:hint="eastAsia" w:ascii="宋体" w:hAnsi="宋体" w:cs="宋体"/>
          <w:b w:val="0"/>
          <w:bCs/>
          <w:snapToGrid w:val="0"/>
          <w:color w:val="auto"/>
          <w:kern w:val="0"/>
          <w:szCs w:val="21"/>
          <w:highlight w:val="none"/>
        </w:rPr>
        <w:t>：</w:t>
      </w:r>
    </w:p>
    <w:p w14:paraId="7F03409C">
      <w:pPr>
        <w:tabs>
          <w:tab w:val="left" w:pos="2320"/>
          <w:tab w:val="left" w:pos="4460"/>
        </w:tabs>
        <w:autoSpaceDE w:val="0"/>
        <w:autoSpaceDN w:val="0"/>
        <w:adjustRightInd w:val="0"/>
        <w:snapToGrid w:val="0"/>
        <w:spacing w:line="480" w:lineRule="auto"/>
        <w:ind w:firstLine="424" w:firstLineChars="101"/>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（项目名称）</w:t>
      </w:r>
      <w:r>
        <w:rPr>
          <w:rFonts w:hint="eastAsia" w:ascii="宋体" w:hAnsi="宋体" w:cs="宋体"/>
          <w:b w:val="0"/>
          <w:bCs/>
          <w:snapToGrid w:val="0"/>
          <w:color w:val="auto"/>
          <w:kern w:val="0"/>
          <w:szCs w:val="21"/>
          <w:highlight w:val="none"/>
        </w:rPr>
        <w:t>的评标委员会，对你方的投标文件进行了仔细的审查，现需你方对下列问题以书面形式予以澄清：</w:t>
      </w:r>
    </w:p>
    <w:p w14:paraId="7F03409D">
      <w:pPr>
        <w:autoSpaceDE w:val="0"/>
        <w:autoSpaceDN w:val="0"/>
        <w:adjustRightInd w:val="0"/>
        <w:snapToGrid w:val="0"/>
        <w:spacing w:line="360" w:lineRule="auto"/>
        <w:jc w:val="left"/>
        <w:rPr>
          <w:rFonts w:hint="eastAsia" w:ascii="宋体" w:hAnsi="宋体" w:cs="宋体"/>
          <w:b w:val="0"/>
          <w:bCs/>
          <w:snapToGrid w:val="0"/>
          <w:color w:val="auto"/>
          <w:kern w:val="0"/>
          <w:sz w:val="24"/>
          <w:highlight w:val="none"/>
        </w:rPr>
      </w:pPr>
    </w:p>
    <w:p w14:paraId="7F03409E">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1. </w:t>
      </w:r>
    </w:p>
    <w:p w14:paraId="7F03409F">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p>
    <w:p w14:paraId="7F0340A0">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2. </w:t>
      </w:r>
    </w:p>
    <w:p w14:paraId="7F0340A1">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p>
    <w:p w14:paraId="7F0340A2">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w:t>
      </w:r>
    </w:p>
    <w:p w14:paraId="7F0340A3">
      <w:pPr>
        <w:autoSpaceDE w:val="0"/>
        <w:autoSpaceDN w:val="0"/>
        <w:adjustRightInd w:val="0"/>
        <w:snapToGrid w:val="0"/>
        <w:spacing w:line="360" w:lineRule="auto"/>
        <w:jc w:val="left"/>
        <w:rPr>
          <w:rFonts w:hint="eastAsia" w:ascii="宋体" w:hAnsi="宋体" w:cs="宋体"/>
          <w:b w:val="0"/>
          <w:bCs/>
          <w:snapToGrid w:val="0"/>
          <w:color w:val="auto"/>
          <w:kern w:val="0"/>
          <w:sz w:val="14"/>
          <w:szCs w:val="14"/>
          <w:highlight w:val="none"/>
        </w:rPr>
      </w:pPr>
    </w:p>
    <w:p w14:paraId="7F0340A4">
      <w:pPr>
        <w:autoSpaceDE w:val="0"/>
        <w:autoSpaceDN w:val="0"/>
        <w:adjustRightInd w:val="0"/>
        <w:snapToGrid w:val="0"/>
        <w:spacing w:line="360" w:lineRule="auto"/>
        <w:jc w:val="left"/>
        <w:rPr>
          <w:rFonts w:hint="eastAsia" w:ascii="宋体" w:hAnsi="宋体" w:cs="宋体"/>
          <w:b w:val="0"/>
          <w:bCs/>
          <w:snapToGrid w:val="0"/>
          <w:color w:val="auto"/>
          <w:kern w:val="0"/>
          <w:sz w:val="14"/>
          <w:szCs w:val="14"/>
          <w:highlight w:val="none"/>
        </w:rPr>
      </w:pPr>
    </w:p>
    <w:p w14:paraId="7F0340A5">
      <w:pPr>
        <w:autoSpaceDE w:val="0"/>
        <w:autoSpaceDN w:val="0"/>
        <w:adjustRightInd w:val="0"/>
        <w:snapToGrid w:val="0"/>
        <w:spacing w:line="360" w:lineRule="auto"/>
        <w:jc w:val="left"/>
        <w:rPr>
          <w:rFonts w:hint="eastAsia" w:ascii="宋体" w:hAnsi="宋体" w:cs="宋体"/>
          <w:b w:val="0"/>
          <w:bCs/>
          <w:snapToGrid w:val="0"/>
          <w:color w:val="auto"/>
          <w:kern w:val="0"/>
          <w:sz w:val="14"/>
          <w:szCs w:val="14"/>
          <w:highlight w:val="none"/>
        </w:rPr>
      </w:pPr>
    </w:p>
    <w:p w14:paraId="7F0340A6">
      <w:pPr>
        <w:autoSpaceDE w:val="0"/>
        <w:autoSpaceDN w:val="0"/>
        <w:adjustRightInd w:val="0"/>
        <w:snapToGrid w:val="0"/>
        <w:spacing w:line="360" w:lineRule="auto"/>
        <w:jc w:val="left"/>
        <w:rPr>
          <w:rFonts w:hint="eastAsia" w:ascii="宋体" w:hAnsi="宋体" w:cs="宋体"/>
          <w:b w:val="0"/>
          <w:bCs/>
          <w:snapToGrid w:val="0"/>
          <w:color w:val="auto"/>
          <w:kern w:val="0"/>
          <w:sz w:val="20"/>
          <w:szCs w:val="20"/>
          <w:highlight w:val="none"/>
        </w:rPr>
      </w:pPr>
    </w:p>
    <w:p w14:paraId="7F0340A7">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请将上述问题的澄清于</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时前递交至</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（详细地址）或传真至</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（传真号码）。采用传真方式的，应在</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日</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时前将原件递交至</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rPr>
        <w:t>（详细地址）。</w:t>
      </w:r>
    </w:p>
    <w:p w14:paraId="7F0340A8">
      <w:pPr>
        <w:autoSpaceDE w:val="0"/>
        <w:autoSpaceDN w:val="0"/>
        <w:adjustRightInd w:val="0"/>
        <w:snapToGrid w:val="0"/>
        <w:spacing w:line="360" w:lineRule="auto"/>
        <w:jc w:val="left"/>
        <w:rPr>
          <w:rFonts w:hint="eastAsia" w:ascii="宋体" w:hAnsi="宋体" w:cs="宋体"/>
          <w:b w:val="0"/>
          <w:bCs/>
          <w:snapToGrid w:val="0"/>
          <w:color w:val="auto"/>
          <w:kern w:val="0"/>
          <w:sz w:val="20"/>
          <w:szCs w:val="20"/>
          <w:highlight w:val="none"/>
        </w:rPr>
      </w:pPr>
    </w:p>
    <w:p w14:paraId="7F0340A9">
      <w:pPr>
        <w:tabs>
          <w:tab w:val="left" w:pos="6400"/>
        </w:tabs>
        <w:autoSpaceDE w:val="0"/>
        <w:autoSpaceDN w:val="0"/>
        <w:adjustRightInd w:val="0"/>
        <w:snapToGrid w:val="0"/>
        <w:spacing w:line="360" w:lineRule="auto"/>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                             评标委员会：</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（签名）</w:t>
      </w:r>
    </w:p>
    <w:p w14:paraId="7F0340AA">
      <w:pPr>
        <w:tabs>
          <w:tab w:val="left" w:pos="6400"/>
        </w:tabs>
        <w:autoSpaceDE w:val="0"/>
        <w:autoSpaceDN w:val="0"/>
        <w:adjustRightInd w:val="0"/>
        <w:snapToGrid w:val="0"/>
        <w:spacing w:line="360" w:lineRule="auto"/>
        <w:ind w:right="120"/>
        <w:jc w:val="right"/>
        <w:rPr>
          <w:rFonts w:hint="eastAsia" w:ascii="宋体" w:hAnsi="宋体" w:cs="宋体"/>
          <w:b w:val="0"/>
          <w:bCs/>
          <w:snapToGrid w:val="0"/>
          <w:color w:val="auto"/>
          <w:kern w:val="0"/>
          <w:sz w:val="24"/>
          <w:highlight w:val="none"/>
        </w:rPr>
      </w:pPr>
      <w:r>
        <w:rPr>
          <w:rFonts w:hint="eastAsia" w:ascii="宋体" w:hAnsi="宋体" w:cs="宋体"/>
          <w:b w:val="0"/>
          <w:bCs/>
          <w:snapToGrid w:val="0"/>
          <w:color w:val="auto"/>
          <w:kern w:val="0"/>
          <w:sz w:val="24"/>
          <w:highlight w:val="none"/>
        </w:rPr>
        <w:t xml:space="preserve"> </w:t>
      </w:r>
    </w:p>
    <w:p w14:paraId="7F0340AB">
      <w:pPr>
        <w:autoSpaceDE w:val="0"/>
        <w:autoSpaceDN w:val="0"/>
        <w:adjustRightInd w:val="0"/>
        <w:snapToGrid w:val="0"/>
        <w:spacing w:line="360" w:lineRule="auto"/>
        <w:ind w:firstLine="315" w:firstLineChars="150"/>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                            </w:t>
      </w:r>
    </w:p>
    <w:p w14:paraId="7F0340AC">
      <w:pPr>
        <w:wordWrap w:val="0"/>
        <w:autoSpaceDE w:val="0"/>
        <w:autoSpaceDN w:val="0"/>
        <w:adjustRightInd w:val="0"/>
        <w:snapToGrid w:val="0"/>
        <w:spacing w:line="360" w:lineRule="auto"/>
        <w:ind w:firstLine="850" w:firstLineChars="405"/>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日  </w:t>
      </w:r>
    </w:p>
    <w:p w14:paraId="7F0340AD">
      <w:pPr>
        <w:autoSpaceDE w:val="0"/>
        <w:autoSpaceDN w:val="0"/>
        <w:adjustRightInd w:val="0"/>
        <w:snapToGrid w:val="0"/>
        <w:spacing w:line="360" w:lineRule="auto"/>
        <w:jc w:val="left"/>
        <w:rPr>
          <w:rFonts w:hint="eastAsia" w:ascii="宋体" w:hAnsi="宋体" w:cs="宋体"/>
          <w:b w:val="0"/>
          <w:bCs/>
          <w:snapToGrid w:val="0"/>
          <w:color w:val="auto"/>
          <w:kern w:val="0"/>
          <w:highlight w:val="none"/>
        </w:rPr>
      </w:pPr>
      <w:r>
        <w:rPr>
          <w:rFonts w:hint="eastAsia" w:ascii="宋体" w:hAnsi="宋体" w:cs="宋体"/>
          <w:b w:val="0"/>
          <w:bCs/>
          <w:snapToGrid w:val="0"/>
          <w:color w:val="auto"/>
          <w:kern w:val="0"/>
          <w:sz w:val="24"/>
          <w:highlight w:val="none"/>
        </w:rPr>
        <w:br w:type="page"/>
      </w:r>
      <w:r>
        <w:rPr>
          <w:rFonts w:hint="eastAsia" w:ascii="宋体" w:hAnsi="宋体" w:cs="宋体"/>
          <w:b w:val="0"/>
          <w:bCs/>
          <w:snapToGrid w:val="0"/>
          <w:color w:val="auto"/>
          <w:kern w:val="0"/>
          <w:highlight w:val="none"/>
        </w:rPr>
        <w:t>附表四：问题的澄清</w:t>
      </w:r>
    </w:p>
    <w:p w14:paraId="7F0340AE">
      <w:pPr>
        <w:autoSpaceDE w:val="0"/>
        <w:autoSpaceDN w:val="0"/>
        <w:adjustRightInd w:val="0"/>
        <w:snapToGrid w:val="0"/>
        <w:spacing w:line="360" w:lineRule="auto"/>
        <w:jc w:val="left"/>
        <w:rPr>
          <w:rFonts w:hint="eastAsia" w:ascii="宋体" w:hAnsi="宋体" w:cs="宋体"/>
          <w:b w:val="0"/>
          <w:bCs/>
          <w:snapToGrid w:val="0"/>
          <w:color w:val="auto"/>
          <w:kern w:val="0"/>
          <w:sz w:val="10"/>
          <w:szCs w:val="10"/>
          <w:highlight w:val="none"/>
        </w:rPr>
      </w:pPr>
    </w:p>
    <w:p w14:paraId="7F0340AF">
      <w:pPr>
        <w:autoSpaceDE w:val="0"/>
        <w:autoSpaceDN w:val="0"/>
        <w:adjustRightInd w:val="0"/>
        <w:snapToGrid w:val="0"/>
        <w:spacing w:line="360" w:lineRule="auto"/>
        <w:jc w:val="center"/>
        <w:rPr>
          <w:rFonts w:hint="eastAsia" w:ascii="宋体" w:hAnsi="宋体" w:cs="宋体"/>
          <w:b w:val="0"/>
          <w:bCs/>
          <w:snapToGrid w:val="0"/>
          <w:color w:val="auto"/>
          <w:kern w:val="0"/>
          <w:sz w:val="32"/>
          <w:szCs w:val="32"/>
          <w:highlight w:val="none"/>
        </w:rPr>
      </w:pPr>
      <w:r>
        <w:rPr>
          <w:rFonts w:hint="eastAsia" w:ascii="宋体" w:hAnsi="宋体" w:cs="宋体"/>
          <w:b w:val="0"/>
          <w:bCs/>
          <w:snapToGrid w:val="0"/>
          <w:color w:val="auto"/>
          <w:w w:val="99"/>
          <w:kern w:val="0"/>
          <w:sz w:val="32"/>
          <w:szCs w:val="32"/>
          <w:highlight w:val="none"/>
        </w:rPr>
        <w:t>问题的澄清</w:t>
      </w:r>
    </w:p>
    <w:p w14:paraId="7F0340B0">
      <w:pPr>
        <w:autoSpaceDE w:val="0"/>
        <w:autoSpaceDN w:val="0"/>
        <w:adjustRightInd w:val="0"/>
        <w:snapToGrid w:val="0"/>
        <w:spacing w:line="360" w:lineRule="auto"/>
        <w:ind w:firstLine="3255" w:firstLineChars="1550"/>
        <w:jc w:val="left"/>
        <w:rPr>
          <w:rFonts w:hint="eastAsia" w:ascii="宋体" w:hAnsi="宋体" w:cs="宋体"/>
          <w:b w:val="0"/>
          <w:bCs/>
          <w:snapToGrid w:val="0"/>
          <w:color w:val="auto"/>
          <w:kern w:val="0"/>
          <w:szCs w:val="21"/>
          <w:highlight w:val="none"/>
        </w:rPr>
      </w:pPr>
    </w:p>
    <w:p w14:paraId="7F0340B1">
      <w:pPr>
        <w:autoSpaceDE w:val="0"/>
        <w:autoSpaceDN w:val="0"/>
        <w:adjustRightInd w:val="0"/>
        <w:snapToGrid w:val="0"/>
        <w:spacing w:line="360" w:lineRule="auto"/>
        <w:ind w:firstLine="3255" w:firstLineChars="1550"/>
        <w:jc w:val="left"/>
        <w:rPr>
          <w:rFonts w:hint="eastAsia" w:ascii="宋体" w:hAnsi="宋体" w:cs="宋体"/>
          <w:b w:val="0"/>
          <w:bCs/>
          <w:snapToGrid w:val="0"/>
          <w:color w:val="auto"/>
          <w:kern w:val="0"/>
          <w:szCs w:val="21"/>
          <w:highlight w:val="none"/>
          <w:u w:val="single"/>
        </w:rPr>
      </w:pPr>
      <w:r>
        <w:rPr>
          <w:rFonts w:hint="eastAsia" w:ascii="宋体" w:hAnsi="宋体" w:cs="宋体"/>
          <w:b w:val="0"/>
          <w:bCs/>
          <w:snapToGrid w:val="0"/>
          <w:color w:val="auto"/>
          <w:kern w:val="0"/>
          <w:szCs w:val="21"/>
          <w:highlight w:val="none"/>
        </w:rPr>
        <w:t>编号：</w:t>
      </w:r>
      <w:r>
        <w:rPr>
          <w:rFonts w:hint="eastAsia" w:ascii="宋体" w:hAnsi="宋体" w:cs="宋体"/>
          <w:b w:val="0"/>
          <w:bCs/>
          <w:snapToGrid w:val="0"/>
          <w:color w:val="auto"/>
          <w:kern w:val="0"/>
          <w:szCs w:val="21"/>
          <w:highlight w:val="none"/>
          <w:u w:val="single"/>
        </w:rPr>
        <w:t xml:space="preserve">                     </w:t>
      </w:r>
    </w:p>
    <w:p w14:paraId="7F0340B2">
      <w:pPr>
        <w:autoSpaceDE w:val="0"/>
        <w:autoSpaceDN w:val="0"/>
        <w:adjustRightInd w:val="0"/>
        <w:snapToGrid w:val="0"/>
        <w:spacing w:line="360" w:lineRule="auto"/>
        <w:ind w:firstLine="3150" w:firstLineChars="1500"/>
        <w:rPr>
          <w:rFonts w:hint="eastAsia" w:ascii="宋体" w:hAnsi="宋体" w:cs="宋体"/>
          <w:b w:val="0"/>
          <w:bCs/>
          <w:snapToGrid w:val="0"/>
          <w:color w:val="auto"/>
          <w:kern w:val="0"/>
          <w:szCs w:val="21"/>
          <w:highlight w:val="none"/>
        </w:rPr>
      </w:pPr>
    </w:p>
    <w:p w14:paraId="7F0340B3">
      <w:pPr>
        <w:autoSpaceDE w:val="0"/>
        <w:autoSpaceDN w:val="0"/>
        <w:adjustRightInd w:val="0"/>
        <w:snapToGrid w:val="0"/>
        <w:spacing w:line="360" w:lineRule="auto"/>
        <w:ind w:firstLine="3150" w:firstLineChars="1500"/>
        <w:rPr>
          <w:rFonts w:hint="eastAsia" w:ascii="宋体" w:hAnsi="宋体" w:cs="宋体"/>
          <w:b w:val="0"/>
          <w:bCs/>
          <w:snapToGrid w:val="0"/>
          <w:color w:val="auto"/>
          <w:kern w:val="0"/>
          <w:szCs w:val="21"/>
          <w:highlight w:val="none"/>
        </w:rPr>
      </w:pPr>
    </w:p>
    <w:p w14:paraId="7F0340B4">
      <w:pPr>
        <w:tabs>
          <w:tab w:val="left" w:pos="735"/>
          <w:tab w:val="left" w:pos="4200"/>
        </w:tabs>
        <w:autoSpaceDE w:val="0"/>
        <w:autoSpaceDN w:val="0"/>
        <w:adjustRightInd w:val="0"/>
        <w:snapToGrid w:val="0"/>
        <w:spacing w:line="48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 xml:space="preserve">（项目名称）    </w:t>
      </w:r>
      <w:r>
        <w:rPr>
          <w:rFonts w:hint="eastAsia" w:ascii="宋体" w:hAnsi="宋体" w:cs="宋体"/>
          <w:b w:val="0"/>
          <w:bCs/>
          <w:snapToGrid w:val="0"/>
          <w:color w:val="auto"/>
          <w:kern w:val="0"/>
          <w:szCs w:val="21"/>
          <w:highlight w:val="none"/>
        </w:rPr>
        <w:t>招标评标委员会：</w:t>
      </w:r>
    </w:p>
    <w:p w14:paraId="7F0340B5">
      <w:pPr>
        <w:tabs>
          <w:tab w:val="left" w:pos="2000"/>
          <w:tab w:val="left" w:pos="3480"/>
          <w:tab w:val="left" w:pos="4200"/>
        </w:tabs>
        <w:autoSpaceDE w:val="0"/>
        <w:autoSpaceDN w:val="0"/>
        <w:adjustRightInd w:val="0"/>
        <w:snapToGrid w:val="0"/>
        <w:spacing w:line="48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问题澄清通知（编号：</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rPr>
        <w:t>）已收悉，现澄清如下：</w:t>
      </w:r>
    </w:p>
    <w:p w14:paraId="7F0340B6">
      <w:pPr>
        <w:tabs>
          <w:tab w:val="left" w:pos="2000"/>
          <w:tab w:val="left" w:pos="3480"/>
          <w:tab w:val="left" w:pos="4200"/>
        </w:tabs>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p>
    <w:p w14:paraId="7F0340B7">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1. </w:t>
      </w:r>
    </w:p>
    <w:p w14:paraId="7F0340B8">
      <w:pPr>
        <w:autoSpaceDE w:val="0"/>
        <w:autoSpaceDN w:val="0"/>
        <w:adjustRightInd w:val="0"/>
        <w:snapToGrid w:val="0"/>
        <w:spacing w:line="360" w:lineRule="auto"/>
        <w:jc w:val="left"/>
        <w:rPr>
          <w:rFonts w:hint="eastAsia" w:ascii="宋体" w:hAnsi="宋体" w:cs="宋体"/>
          <w:b w:val="0"/>
          <w:bCs/>
          <w:snapToGrid w:val="0"/>
          <w:color w:val="auto"/>
          <w:kern w:val="0"/>
          <w:sz w:val="18"/>
          <w:szCs w:val="18"/>
          <w:highlight w:val="none"/>
        </w:rPr>
      </w:pPr>
    </w:p>
    <w:p w14:paraId="7F0340B9">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2. </w:t>
      </w:r>
    </w:p>
    <w:p w14:paraId="7F0340BA">
      <w:pPr>
        <w:autoSpaceDE w:val="0"/>
        <w:autoSpaceDN w:val="0"/>
        <w:adjustRightInd w:val="0"/>
        <w:snapToGrid w:val="0"/>
        <w:spacing w:line="360" w:lineRule="auto"/>
        <w:jc w:val="left"/>
        <w:rPr>
          <w:rFonts w:hint="eastAsia" w:ascii="宋体" w:hAnsi="宋体" w:cs="宋体"/>
          <w:b w:val="0"/>
          <w:bCs/>
          <w:snapToGrid w:val="0"/>
          <w:color w:val="auto"/>
          <w:kern w:val="0"/>
          <w:sz w:val="22"/>
          <w:szCs w:val="22"/>
          <w:highlight w:val="none"/>
        </w:rPr>
      </w:pPr>
    </w:p>
    <w:p w14:paraId="7F0340BB">
      <w:pPr>
        <w:autoSpaceDE w:val="0"/>
        <w:autoSpaceDN w:val="0"/>
        <w:adjustRightInd w:val="0"/>
        <w:snapToGrid w:val="0"/>
        <w:spacing w:line="36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w:t>
      </w:r>
    </w:p>
    <w:p w14:paraId="7F0340BC">
      <w:pPr>
        <w:autoSpaceDE w:val="0"/>
        <w:autoSpaceDN w:val="0"/>
        <w:adjustRightInd w:val="0"/>
        <w:snapToGrid w:val="0"/>
        <w:spacing w:line="360" w:lineRule="auto"/>
        <w:jc w:val="left"/>
        <w:rPr>
          <w:rFonts w:hint="eastAsia" w:ascii="宋体" w:hAnsi="宋体" w:cs="宋体"/>
          <w:b w:val="0"/>
          <w:bCs/>
          <w:snapToGrid w:val="0"/>
          <w:color w:val="auto"/>
          <w:kern w:val="0"/>
          <w:sz w:val="18"/>
          <w:szCs w:val="18"/>
          <w:highlight w:val="none"/>
        </w:rPr>
      </w:pPr>
    </w:p>
    <w:p w14:paraId="7F0340BD">
      <w:pPr>
        <w:tabs>
          <w:tab w:val="left" w:pos="2000"/>
          <w:tab w:val="left" w:pos="3480"/>
          <w:tab w:val="left" w:pos="4200"/>
        </w:tabs>
        <w:autoSpaceDE w:val="0"/>
        <w:autoSpaceDN w:val="0"/>
        <w:adjustRightInd w:val="0"/>
        <w:snapToGrid w:val="0"/>
        <w:spacing w:line="480" w:lineRule="auto"/>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上述问题的澄清，不改变我方投标文件的实质性内容，构成我方投标文件的组成部分。</w:t>
      </w:r>
    </w:p>
    <w:p w14:paraId="7F0340BE">
      <w:pPr>
        <w:autoSpaceDE w:val="0"/>
        <w:autoSpaceDN w:val="0"/>
        <w:adjustRightInd w:val="0"/>
        <w:snapToGrid w:val="0"/>
        <w:spacing w:line="360" w:lineRule="auto"/>
        <w:jc w:val="left"/>
        <w:rPr>
          <w:rFonts w:hint="eastAsia" w:ascii="宋体" w:hAnsi="宋体" w:cs="宋体"/>
          <w:b w:val="0"/>
          <w:bCs/>
          <w:snapToGrid w:val="0"/>
          <w:color w:val="auto"/>
          <w:kern w:val="0"/>
          <w:sz w:val="20"/>
          <w:szCs w:val="20"/>
          <w:highlight w:val="none"/>
        </w:rPr>
      </w:pPr>
    </w:p>
    <w:p w14:paraId="7F0340BF">
      <w:pPr>
        <w:autoSpaceDE w:val="0"/>
        <w:autoSpaceDN w:val="0"/>
        <w:adjustRightInd w:val="0"/>
        <w:snapToGrid w:val="0"/>
        <w:spacing w:line="360" w:lineRule="auto"/>
        <w:jc w:val="left"/>
        <w:rPr>
          <w:rFonts w:hint="eastAsia" w:ascii="宋体" w:hAnsi="宋体" w:cs="宋体"/>
          <w:b w:val="0"/>
          <w:bCs/>
          <w:snapToGrid w:val="0"/>
          <w:color w:val="auto"/>
          <w:kern w:val="0"/>
          <w:sz w:val="20"/>
          <w:szCs w:val="20"/>
          <w:highlight w:val="none"/>
        </w:rPr>
      </w:pPr>
    </w:p>
    <w:p w14:paraId="7F0340C0">
      <w:pPr>
        <w:tabs>
          <w:tab w:val="left" w:pos="7035"/>
        </w:tabs>
        <w:autoSpaceDE w:val="0"/>
        <w:autoSpaceDN w:val="0"/>
        <w:adjustRightInd w:val="0"/>
        <w:snapToGrid w:val="0"/>
        <w:spacing w:line="480" w:lineRule="auto"/>
        <w:ind w:firstLine="2551" w:firstLineChars="1215"/>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投标人：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0C1">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rPr>
        <w:t>（签名或盖章）</w:t>
      </w:r>
    </w:p>
    <w:p w14:paraId="7F0340C2">
      <w:pPr>
        <w:autoSpaceDE w:val="0"/>
        <w:autoSpaceDN w:val="0"/>
        <w:adjustRightInd w:val="0"/>
        <w:snapToGrid w:val="0"/>
        <w:spacing w:line="360" w:lineRule="auto"/>
        <w:jc w:val="right"/>
        <w:rPr>
          <w:rFonts w:hint="eastAsia" w:ascii="宋体" w:hAnsi="宋体" w:cs="宋体"/>
          <w:b w:val="0"/>
          <w:bCs/>
          <w:snapToGrid w:val="0"/>
          <w:color w:val="auto"/>
          <w:kern w:val="0"/>
          <w:sz w:val="20"/>
          <w:szCs w:val="20"/>
          <w:highlight w:val="none"/>
        </w:rPr>
      </w:pPr>
    </w:p>
    <w:p w14:paraId="7F0340C3">
      <w:pPr>
        <w:wordWrap w:val="0"/>
        <w:autoSpaceDE w:val="0"/>
        <w:autoSpaceDN w:val="0"/>
        <w:adjustRightInd w:val="0"/>
        <w:snapToGrid w:val="0"/>
        <w:spacing w:line="360" w:lineRule="auto"/>
        <w:ind w:firstLine="315" w:firstLineChars="150"/>
        <w:jc w:val="righ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年</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月</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日 </w:t>
      </w:r>
    </w:p>
    <w:p w14:paraId="7F0340C4">
      <w:pPr>
        <w:autoSpaceDE w:val="0"/>
        <w:autoSpaceDN w:val="0"/>
        <w:adjustRightInd w:val="0"/>
        <w:snapToGrid w:val="0"/>
        <w:spacing w:line="360" w:lineRule="auto"/>
        <w:jc w:val="left"/>
        <w:rPr>
          <w:rFonts w:hint="eastAsia" w:ascii="宋体" w:hAnsi="宋体" w:cs="宋体"/>
          <w:b w:val="0"/>
          <w:bCs/>
          <w:snapToGrid w:val="0"/>
          <w:color w:val="auto"/>
          <w:kern w:val="0"/>
          <w:sz w:val="24"/>
          <w:highlight w:val="none"/>
        </w:rPr>
      </w:pPr>
    </w:p>
    <w:p w14:paraId="7F0340C5">
      <w:pPr>
        <w:jc w:val="left"/>
        <w:rPr>
          <w:rFonts w:hint="eastAsia" w:ascii="宋体" w:hAnsi="宋体" w:cs="宋体"/>
          <w:b w:val="0"/>
          <w:bCs/>
          <w:snapToGrid w:val="0"/>
          <w:color w:val="auto"/>
          <w:kern w:val="0"/>
          <w:highlight w:val="none"/>
        </w:rPr>
      </w:pPr>
      <w:r>
        <w:rPr>
          <w:rFonts w:hint="eastAsia" w:ascii="宋体" w:hAnsi="宋体" w:cs="宋体"/>
          <w:b w:val="0"/>
          <w:bCs/>
          <w:snapToGrid w:val="0"/>
          <w:color w:val="auto"/>
          <w:kern w:val="0"/>
          <w:highlight w:val="none"/>
        </w:rPr>
        <w:br w:type="page"/>
      </w:r>
    </w:p>
    <w:p w14:paraId="7F0340C6">
      <w:pPr>
        <w:autoSpaceDE w:val="0"/>
        <w:autoSpaceDN w:val="0"/>
        <w:adjustRightInd w:val="0"/>
        <w:snapToGrid w:val="0"/>
        <w:spacing w:line="360" w:lineRule="auto"/>
        <w:jc w:val="left"/>
        <w:rPr>
          <w:rFonts w:hint="eastAsia" w:ascii="宋体" w:hAnsi="宋体" w:cs="宋体"/>
          <w:b w:val="0"/>
          <w:bCs/>
          <w:snapToGrid w:val="0"/>
          <w:color w:val="auto"/>
          <w:kern w:val="0"/>
          <w:sz w:val="20"/>
          <w:szCs w:val="20"/>
          <w:highlight w:val="none"/>
        </w:rPr>
      </w:pPr>
      <w:r>
        <w:rPr>
          <w:rFonts w:hint="eastAsia" w:ascii="宋体" w:hAnsi="宋体" w:cs="宋体"/>
          <w:b w:val="0"/>
          <w:bCs/>
          <w:snapToGrid w:val="0"/>
          <w:color w:val="auto"/>
          <w:kern w:val="0"/>
          <w:highlight w:val="none"/>
        </w:rPr>
        <w:t>附表五：中标通知书</w:t>
      </w:r>
    </w:p>
    <w:p w14:paraId="7F0340C7">
      <w:pPr>
        <w:autoSpaceDE w:val="0"/>
        <w:autoSpaceDN w:val="0"/>
        <w:adjustRightInd w:val="0"/>
        <w:spacing w:line="360" w:lineRule="auto"/>
        <w:jc w:val="left"/>
        <w:rPr>
          <w:rFonts w:hint="eastAsia" w:ascii="宋体" w:hAnsi="宋体" w:cs="宋体"/>
          <w:b w:val="0"/>
          <w:bCs/>
          <w:snapToGrid w:val="0"/>
          <w:color w:val="auto"/>
          <w:kern w:val="0"/>
          <w:sz w:val="20"/>
          <w:szCs w:val="20"/>
          <w:highlight w:val="none"/>
        </w:rPr>
      </w:pPr>
    </w:p>
    <w:p w14:paraId="7F0340C8">
      <w:pPr>
        <w:autoSpaceDE w:val="0"/>
        <w:autoSpaceDN w:val="0"/>
        <w:adjustRightInd w:val="0"/>
        <w:spacing w:line="360" w:lineRule="auto"/>
        <w:jc w:val="left"/>
        <w:rPr>
          <w:rFonts w:hint="eastAsia" w:ascii="宋体" w:hAnsi="宋体" w:cs="宋体"/>
          <w:b w:val="0"/>
          <w:bCs/>
          <w:snapToGrid w:val="0"/>
          <w:color w:val="auto"/>
          <w:kern w:val="0"/>
          <w:sz w:val="20"/>
          <w:szCs w:val="20"/>
          <w:highlight w:val="none"/>
        </w:rPr>
      </w:pPr>
    </w:p>
    <w:p w14:paraId="7F0340C9">
      <w:pPr>
        <w:autoSpaceDE w:val="0"/>
        <w:autoSpaceDN w:val="0"/>
        <w:adjustRightInd w:val="0"/>
        <w:spacing w:line="360" w:lineRule="auto"/>
        <w:jc w:val="left"/>
        <w:rPr>
          <w:rFonts w:hint="eastAsia" w:ascii="宋体" w:hAnsi="宋体" w:cs="宋体"/>
          <w:b w:val="0"/>
          <w:bCs/>
          <w:snapToGrid w:val="0"/>
          <w:color w:val="auto"/>
          <w:kern w:val="0"/>
          <w:sz w:val="20"/>
          <w:szCs w:val="20"/>
          <w:highlight w:val="none"/>
        </w:rPr>
      </w:pPr>
    </w:p>
    <w:p w14:paraId="7F0340CA">
      <w:pPr>
        <w:autoSpaceDE w:val="0"/>
        <w:autoSpaceDN w:val="0"/>
        <w:adjustRightInd w:val="0"/>
        <w:snapToGrid w:val="0"/>
        <w:spacing w:line="360" w:lineRule="auto"/>
        <w:jc w:val="center"/>
        <w:rPr>
          <w:rFonts w:hint="eastAsia" w:ascii="宋体" w:hAnsi="宋体" w:cs="宋体"/>
          <w:b w:val="0"/>
          <w:bCs/>
          <w:snapToGrid w:val="0"/>
          <w:color w:val="auto"/>
          <w:w w:val="99"/>
          <w:kern w:val="0"/>
          <w:sz w:val="32"/>
          <w:szCs w:val="32"/>
          <w:highlight w:val="none"/>
        </w:rPr>
      </w:pPr>
      <w:r>
        <w:rPr>
          <w:rFonts w:hint="eastAsia" w:ascii="宋体" w:hAnsi="宋体" w:cs="宋体"/>
          <w:b w:val="0"/>
          <w:bCs/>
          <w:snapToGrid w:val="0"/>
          <w:color w:val="auto"/>
          <w:w w:val="99"/>
          <w:kern w:val="0"/>
          <w:sz w:val="32"/>
          <w:szCs w:val="32"/>
          <w:highlight w:val="none"/>
        </w:rPr>
        <w:t>中标通知书</w:t>
      </w:r>
    </w:p>
    <w:p w14:paraId="7F0340CB">
      <w:pPr>
        <w:spacing w:line="360" w:lineRule="auto"/>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u w:val="single"/>
        </w:rPr>
        <w:t xml:space="preserve">       （中标单位名称）         </w:t>
      </w:r>
      <w:r>
        <w:rPr>
          <w:rFonts w:hint="eastAsia" w:ascii="宋体" w:hAnsi="宋体" w:cs="宋体"/>
          <w:b w:val="0"/>
          <w:bCs/>
          <w:color w:val="auto"/>
          <w:kern w:val="0"/>
          <w:szCs w:val="21"/>
          <w:highlight w:val="none"/>
        </w:rPr>
        <w:t>：</w:t>
      </w:r>
    </w:p>
    <w:p w14:paraId="7F0340CC">
      <w:pPr>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你方于</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日（投标日期）所递交的</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u w:val="single"/>
        </w:rPr>
        <w:t xml:space="preserve">（项目名称）   </w:t>
      </w:r>
      <w:r>
        <w:rPr>
          <w:rFonts w:hint="eastAsia" w:ascii="宋体" w:hAnsi="宋体" w:cs="宋体"/>
          <w:b w:val="0"/>
          <w:bCs/>
          <w:color w:val="auto"/>
          <w:kern w:val="0"/>
          <w:szCs w:val="21"/>
          <w:highlight w:val="none"/>
        </w:rPr>
        <w:t>招标的投标文件已被我方接受，经评标委员会评定，被确定为中标人。</w:t>
      </w:r>
    </w:p>
    <w:p w14:paraId="7F0340CD">
      <w:pPr>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中标价：</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元；</w:t>
      </w:r>
    </w:p>
    <w:p w14:paraId="7F0340CE">
      <w:pPr>
        <w:spacing w:line="360" w:lineRule="auto"/>
        <w:ind w:firstLine="420" w:firstLineChars="200"/>
        <w:rPr>
          <w:rFonts w:ascii="宋体" w:hAnsi="宋体" w:cs="宋体"/>
          <w:b w:val="0"/>
          <w:bCs/>
          <w:color w:val="auto"/>
          <w:highlight w:val="none"/>
        </w:rPr>
      </w:pPr>
      <w:r>
        <w:rPr>
          <w:rFonts w:hint="eastAsia" w:ascii="宋体" w:hAnsi="宋体" w:cs="宋体"/>
          <w:b w:val="0"/>
          <w:bCs/>
          <w:color w:val="auto"/>
          <w:highlight w:val="none"/>
        </w:rPr>
        <w:t>供货范围：</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w:t>
      </w:r>
    </w:p>
    <w:p w14:paraId="7F0340CF">
      <w:pPr>
        <w:spacing w:line="360" w:lineRule="auto"/>
        <w:ind w:firstLine="420" w:firstLineChars="200"/>
        <w:rPr>
          <w:rFonts w:ascii="宋体" w:hAnsi="宋体" w:cs="宋体"/>
          <w:b w:val="0"/>
          <w:bCs/>
          <w:color w:val="auto"/>
          <w:highlight w:val="none"/>
        </w:rPr>
      </w:pPr>
      <w:r>
        <w:rPr>
          <w:rFonts w:hint="eastAsia" w:ascii="宋体" w:hAnsi="宋体" w:cs="宋体"/>
          <w:b w:val="0"/>
          <w:bCs/>
          <w:color w:val="auto"/>
          <w:highlight w:val="none"/>
        </w:rPr>
        <w:t>供货期：</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rPr>
        <w:t>日历天</w:t>
      </w:r>
      <w:r>
        <w:rPr>
          <w:rFonts w:hint="eastAsia" w:ascii="宋体" w:hAnsi="宋体" w:cs="宋体"/>
          <w:b w:val="0"/>
          <w:bCs/>
          <w:color w:val="auto"/>
          <w:highlight w:val="none"/>
        </w:rPr>
        <w:t>。</w:t>
      </w:r>
    </w:p>
    <w:p w14:paraId="7F0340D0">
      <w:pPr>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请你方在接到本通知书后的</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日内到</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u w:val="single"/>
        </w:rPr>
        <w:t xml:space="preserve">（指定地点）  </w:t>
      </w:r>
      <w:r>
        <w:rPr>
          <w:rFonts w:hint="eastAsia" w:ascii="宋体" w:hAnsi="宋体" w:cs="宋体"/>
          <w:b w:val="0"/>
          <w:bCs/>
          <w:color w:val="auto"/>
          <w:kern w:val="0"/>
          <w:szCs w:val="21"/>
          <w:highlight w:val="none"/>
        </w:rPr>
        <w:t>与我方签订设备采购合同。</w:t>
      </w:r>
      <w:r>
        <w:rPr>
          <w:rFonts w:hint="eastAsia" w:ascii="宋体" w:hAnsi="宋体" w:cs="宋体"/>
          <w:b w:val="0"/>
          <w:bCs/>
          <w:color w:val="auto"/>
          <w:szCs w:val="21"/>
          <w:highlight w:val="none"/>
        </w:rPr>
        <w:t>在此之前按招标文件第二章“投标人须知”第7.</w:t>
      </w:r>
      <w:r>
        <w:rPr>
          <w:rFonts w:ascii="宋体" w:hAnsi="宋体" w:cs="宋体"/>
          <w:b w:val="0"/>
          <w:bCs/>
          <w:color w:val="auto"/>
          <w:szCs w:val="21"/>
          <w:highlight w:val="none"/>
        </w:rPr>
        <w:t>6</w:t>
      </w:r>
      <w:r>
        <w:rPr>
          <w:rFonts w:hint="eastAsia" w:ascii="宋体" w:hAnsi="宋体" w:cs="宋体"/>
          <w:b w:val="0"/>
          <w:bCs/>
          <w:color w:val="auto"/>
          <w:szCs w:val="21"/>
          <w:highlight w:val="none"/>
        </w:rPr>
        <w:t>款规定向我方提交履约担保。</w:t>
      </w:r>
    </w:p>
    <w:p w14:paraId="7F0340D1">
      <w:pPr>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特此通知。</w:t>
      </w:r>
    </w:p>
    <w:p w14:paraId="7F0340D2">
      <w:pPr>
        <w:spacing w:line="480" w:lineRule="auto"/>
        <w:rPr>
          <w:rFonts w:hint="eastAsia" w:ascii="宋体" w:hAnsi="宋体" w:cs="宋体"/>
          <w:b w:val="0"/>
          <w:bCs/>
          <w:color w:val="auto"/>
          <w:kern w:val="0"/>
          <w:sz w:val="24"/>
          <w:highlight w:val="none"/>
        </w:rPr>
      </w:pPr>
    </w:p>
    <w:p w14:paraId="7F0340D3">
      <w:pPr>
        <w:spacing w:line="480" w:lineRule="auto"/>
        <w:rPr>
          <w:rFonts w:hint="eastAsia" w:ascii="宋体" w:hAnsi="宋体" w:cs="宋体"/>
          <w:b w:val="0"/>
          <w:bCs/>
          <w:color w:val="auto"/>
          <w:kern w:val="0"/>
          <w:sz w:val="24"/>
          <w:highlight w:val="none"/>
        </w:rPr>
      </w:pPr>
    </w:p>
    <w:p w14:paraId="7F0340D4">
      <w:pPr>
        <w:spacing w:line="480" w:lineRule="auto"/>
        <w:rPr>
          <w:rFonts w:hint="eastAsia" w:ascii="宋体" w:hAnsi="宋体" w:cs="宋体"/>
          <w:b w:val="0"/>
          <w:bCs/>
          <w:color w:val="auto"/>
          <w:kern w:val="0"/>
          <w:sz w:val="24"/>
          <w:highlight w:val="none"/>
        </w:rPr>
      </w:pPr>
    </w:p>
    <w:p w14:paraId="7F0340D5">
      <w:pPr>
        <w:spacing w:line="480" w:lineRule="auto"/>
        <w:jc w:val="left"/>
        <w:rPr>
          <w:rFonts w:hint="eastAsia" w:ascii="宋体" w:hAnsi="宋体" w:cs="宋体"/>
          <w:b w:val="0"/>
          <w:bCs/>
          <w:color w:val="auto"/>
          <w:kern w:val="0"/>
          <w:szCs w:val="21"/>
          <w:highlight w:val="none"/>
        </w:rPr>
      </w:pPr>
      <w:r>
        <w:rPr>
          <w:rFonts w:hint="eastAsia" w:ascii="宋体" w:hAnsi="宋体" w:cs="宋体"/>
          <w:b w:val="0"/>
          <w:bCs/>
          <w:color w:val="auto"/>
          <w:kern w:val="0"/>
          <w:sz w:val="24"/>
          <w:highlight w:val="none"/>
        </w:rPr>
        <w:t xml:space="preserve">                                </w:t>
      </w:r>
      <w:r>
        <w:rPr>
          <w:rFonts w:hint="eastAsia" w:ascii="宋体" w:hAnsi="宋体" w:cs="宋体"/>
          <w:b w:val="0"/>
          <w:bCs/>
          <w:color w:val="auto"/>
          <w:kern w:val="0"/>
          <w:szCs w:val="21"/>
          <w:highlight w:val="none"/>
        </w:rPr>
        <w:t>招标人</w:t>
      </w:r>
      <w:r>
        <w:rPr>
          <w:rFonts w:hint="eastAsia" w:ascii="宋体" w:hAnsi="宋体" w:cs="宋体"/>
          <w:b w:val="0"/>
          <w:bCs/>
          <w:snapToGrid w:val="0"/>
          <w:color w:val="auto"/>
          <w:kern w:val="0"/>
          <w:szCs w:val="21"/>
          <w:highlight w:val="none"/>
        </w:rPr>
        <w:t>：</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w:t>
      </w:r>
      <w:r>
        <w:rPr>
          <w:rFonts w:hint="eastAsia" w:ascii="宋体" w:hAnsi="宋体" w:cs="宋体"/>
          <w:b w:val="0"/>
          <w:bCs/>
          <w:snapToGrid w:val="0"/>
          <w:color w:val="auto"/>
          <w:kern w:val="0"/>
          <w:szCs w:val="21"/>
          <w:highlight w:val="none"/>
        </w:rPr>
        <w:t>盖单位法人章</w:t>
      </w:r>
      <w:r>
        <w:rPr>
          <w:rFonts w:hint="eastAsia" w:ascii="宋体" w:hAnsi="宋体" w:cs="宋体"/>
          <w:b w:val="0"/>
          <w:bCs/>
          <w:color w:val="auto"/>
          <w:kern w:val="0"/>
          <w:szCs w:val="21"/>
          <w:highlight w:val="none"/>
        </w:rPr>
        <w:t>）</w:t>
      </w:r>
    </w:p>
    <w:p w14:paraId="7F0340D6">
      <w:pPr>
        <w:spacing w:line="480" w:lineRule="auto"/>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                                     法定代表人</w:t>
      </w:r>
      <w:r>
        <w:rPr>
          <w:rFonts w:hint="eastAsia" w:ascii="宋体" w:hAnsi="宋体" w:cs="宋体"/>
          <w:b w:val="0"/>
          <w:bCs/>
          <w:snapToGrid w:val="0"/>
          <w:color w:val="auto"/>
          <w:kern w:val="0"/>
          <w:szCs w:val="21"/>
          <w:highlight w:val="none"/>
        </w:rPr>
        <w:t>：</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（签名或盖章）</w:t>
      </w:r>
    </w:p>
    <w:p w14:paraId="7F0340D7">
      <w:pPr>
        <w:spacing w:line="480" w:lineRule="auto"/>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 xml:space="preserve">                                     联系人</w:t>
      </w:r>
      <w:r>
        <w:rPr>
          <w:rFonts w:hint="eastAsia" w:ascii="宋体" w:hAnsi="宋体" w:cs="宋体"/>
          <w:b w:val="0"/>
          <w:bCs/>
          <w:snapToGrid w:val="0"/>
          <w:color w:val="auto"/>
          <w:kern w:val="0"/>
          <w:szCs w:val="21"/>
          <w:highlight w:val="none"/>
        </w:rPr>
        <w:t>：</w:t>
      </w:r>
      <w:r>
        <w:rPr>
          <w:rFonts w:hint="eastAsia" w:ascii="宋体" w:hAnsi="宋体" w:cs="宋体"/>
          <w:b w:val="0"/>
          <w:bCs/>
          <w:color w:val="auto"/>
          <w:kern w:val="0"/>
          <w:szCs w:val="21"/>
          <w:highlight w:val="none"/>
          <w:u w:val="single"/>
        </w:rPr>
        <w:t xml:space="preserve">                          </w:t>
      </w:r>
    </w:p>
    <w:p w14:paraId="7F0340D8">
      <w:pPr>
        <w:spacing w:line="480" w:lineRule="auto"/>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                                     联系电话</w:t>
      </w:r>
      <w:r>
        <w:rPr>
          <w:rFonts w:hint="eastAsia" w:ascii="宋体" w:hAnsi="宋体" w:cs="宋体"/>
          <w:b w:val="0"/>
          <w:bCs/>
          <w:snapToGrid w:val="0"/>
          <w:color w:val="auto"/>
          <w:kern w:val="0"/>
          <w:szCs w:val="21"/>
          <w:highlight w:val="none"/>
        </w:rPr>
        <w:t>：</w:t>
      </w:r>
      <w:r>
        <w:rPr>
          <w:rFonts w:hint="eastAsia" w:ascii="宋体" w:hAnsi="宋体" w:cs="宋体"/>
          <w:b w:val="0"/>
          <w:bCs/>
          <w:color w:val="auto"/>
          <w:kern w:val="0"/>
          <w:szCs w:val="21"/>
          <w:highlight w:val="none"/>
          <w:u w:val="single"/>
        </w:rPr>
        <w:t xml:space="preserve">                        </w:t>
      </w:r>
    </w:p>
    <w:p w14:paraId="7F0340D9">
      <w:pPr>
        <w:spacing w:line="480" w:lineRule="auto"/>
        <w:jc w:val="right"/>
        <w:rPr>
          <w:rFonts w:hint="eastAsia" w:ascii="宋体" w:hAnsi="宋体" w:cs="宋体"/>
          <w:b w:val="0"/>
          <w:bCs/>
          <w:color w:val="auto"/>
          <w:kern w:val="0"/>
          <w:szCs w:val="21"/>
          <w:highlight w:val="none"/>
        </w:rPr>
      </w:pPr>
    </w:p>
    <w:p w14:paraId="7F0340DA">
      <w:pPr>
        <w:spacing w:line="480" w:lineRule="auto"/>
        <w:jc w:val="right"/>
        <w:rPr>
          <w:rFonts w:hint="eastAsia" w:ascii="宋体" w:hAnsi="宋体" w:cs="宋体"/>
          <w:b w:val="0"/>
          <w:bCs/>
          <w:color w:val="auto"/>
          <w:kern w:val="0"/>
          <w:szCs w:val="21"/>
          <w:highlight w:val="none"/>
        </w:rPr>
      </w:pPr>
    </w:p>
    <w:p w14:paraId="7F0340DB">
      <w:pPr>
        <w:spacing w:line="480" w:lineRule="auto"/>
        <w:jc w:val="right"/>
        <w:rPr>
          <w:rFonts w:hint="eastAsia" w:ascii="宋体" w:hAnsi="宋体" w:cs="宋体"/>
          <w:b w:val="0"/>
          <w:bCs/>
          <w:color w:val="auto"/>
          <w:kern w:val="0"/>
          <w:sz w:val="24"/>
          <w:highlight w:val="none"/>
        </w:rPr>
      </w:pPr>
      <w:r>
        <w:rPr>
          <w:rFonts w:hint="eastAsia" w:ascii="宋体" w:hAnsi="宋体" w:cs="宋体"/>
          <w:b w:val="0"/>
          <w:bCs/>
          <w:color w:val="auto"/>
          <w:kern w:val="0"/>
          <w:szCs w:val="21"/>
          <w:highlight w:val="none"/>
        </w:rPr>
        <w:t xml:space="preserve">                   签发日期</w:t>
      </w:r>
      <w:r>
        <w:rPr>
          <w:rFonts w:hint="eastAsia" w:ascii="宋体" w:hAnsi="宋体" w:cs="宋体"/>
          <w:b w:val="0"/>
          <w:bCs/>
          <w:snapToGrid w:val="0"/>
          <w:color w:val="auto"/>
          <w:kern w:val="0"/>
          <w:szCs w:val="21"/>
          <w:highlight w:val="none"/>
        </w:rPr>
        <w:t>：</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p>
    <w:p w14:paraId="7F0340DC">
      <w:pPr>
        <w:spacing w:line="200" w:lineRule="exact"/>
        <w:rPr>
          <w:rFonts w:hint="eastAsia" w:ascii="宋体" w:hAnsi="宋体" w:cs="宋体"/>
          <w:b w:val="0"/>
          <w:bCs/>
          <w:color w:val="auto"/>
          <w:kern w:val="0"/>
          <w:highlight w:val="none"/>
        </w:rPr>
      </w:pPr>
      <w:r>
        <w:rPr>
          <w:rFonts w:hint="eastAsia" w:ascii="宋体" w:hAnsi="宋体" w:cs="宋体"/>
          <w:b w:val="0"/>
          <w:bCs/>
          <w:snapToGrid w:val="0"/>
          <w:color w:val="auto"/>
          <w:kern w:val="0"/>
          <w:highlight w:val="none"/>
        </w:rPr>
        <w:br w:type="page"/>
      </w:r>
      <w:bookmarkStart w:id="503" w:name="招标文件03章02评标办法综合评估法00"/>
      <w:bookmarkEnd w:id="503"/>
      <w:bookmarkStart w:id="504" w:name="招标文件03章02评标办法综合评估法"/>
      <w:bookmarkEnd w:id="504"/>
      <w:bookmarkStart w:id="505" w:name="_Toc200513198"/>
      <w:bookmarkStart w:id="506" w:name="_Toc430530500"/>
      <w:bookmarkStart w:id="507" w:name="_Toc224103384"/>
      <w:bookmarkStart w:id="508" w:name="_Toc287607812"/>
      <w:bookmarkStart w:id="509" w:name="_Toc287620751"/>
      <w:bookmarkStart w:id="510" w:name="_Toc277082618"/>
    </w:p>
    <w:bookmarkEnd w:id="505"/>
    <w:bookmarkEnd w:id="506"/>
    <w:bookmarkEnd w:id="507"/>
    <w:bookmarkEnd w:id="508"/>
    <w:bookmarkEnd w:id="509"/>
    <w:bookmarkEnd w:id="510"/>
    <w:p w14:paraId="7F0340DD">
      <w:pPr>
        <w:pStyle w:val="3"/>
        <w:spacing w:line="360" w:lineRule="auto"/>
        <w:ind w:firstLine="880" w:firstLineChars="200"/>
        <w:jc w:val="center"/>
        <w:rPr>
          <w:rFonts w:hint="eastAsia" w:ascii="宋体" w:hAnsi="宋体" w:cs="宋体"/>
          <w:b w:val="0"/>
          <w:bCs/>
          <w:color w:val="auto"/>
          <w:highlight w:val="none"/>
        </w:rPr>
      </w:pPr>
      <w:bookmarkStart w:id="511" w:name="_Toc32295"/>
      <w:bookmarkStart w:id="512" w:name="_Toc18457"/>
      <w:bookmarkStart w:id="513" w:name="_Toc509218774"/>
      <w:r>
        <w:rPr>
          <w:rFonts w:hint="eastAsia" w:ascii="宋体" w:hAnsi="宋体" w:cs="宋体"/>
          <w:b w:val="0"/>
          <w:bCs/>
          <w:color w:val="auto"/>
          <w:highlight w:val="none"/>
        </w:rPr>
        <w:t>第三章  评标办法（综合评估法）</w:t>
      </w:r>
      <w:bookmarkEnd w:id="511"/>
      <w:bookmarkEnd w:id="512"/>
      <w:bookmarkEnd w:id="513"/>
      <w:bookmarkStart w:id="514" w:name="_Toc287607811"/>
      <w:bookmarkStart w:id="515" w:name="_Toc430530499"/>
      <w:bookmarkStart w:id="516" w:name="_Toc277082617"/>
      <w:bookmarkStart w:id="517" w:name="_Toc287620750"/>
      <w:bookmarkStart w:id="518" w:name="_Toc224103383"/>
    </w:p>
    <w:p w14:paraId="7F0340DE">
      <w:pPr>
        <w:bidi w:val="0"/>
        <w:rPr>
          <w:rFonts w:hint="eastAsia"/>
          <w:b w:val="0"/>
          <w:bCs/>
          <w:color w:val="auto"/>
          <w:sz w:val="32"/>
          <w:szCs w:val="40"/>
          <w:highlight w:val="none"/>
        </w:rPr>
      </w:pPr>
      <w:bookmarkStart w:id="519" w:name="_Toc16819"/>
      <w:bookmarkStart w:id="520" w:name="_Toc509218775"/>
      <w:bookmarkStart w:id="521" w:name="_Toc2060"/>
      <w:r>
        <w:rPr>
          <w:rFonts w:hint="eastAsia"/>
          <w:b w:val="0"/>
          <w:bCs/>
          <w:color w:val="auto"/>
          <w:sz w:val="32"/>
          <w:szCs w:val="40"/>
          <w:highlight w:val="none"/>
        </w:rPr>
        <w:t>评标办法前附表</w:t>
      </w:r>
      <w:bookmarkEnd w:id="519"/>
      <w:bookmarkEnd w:id="520"/>
      <w:bookmarkEnd w:id="521"/>
    </w:p>
    <w:p w14:paraId="7F0340DF">
      <w:pPr>
        <w:spacing w:line="360" w:lineRule="auto"/>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评标办法中的评审内容必须和投标人须知中的对应内容一致，若投标人须知中未作要求的内容，不得列入评标办法作为评定依据。</w:t>
      </w:r>
    </w:p>
    <w:tbl>
      <w:tblPr>
        <w:tblStyle w:val="46"/>
        <w:tblW w:w="95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34"/>
        <w:gridCol w:w="1680"/>
        <w:gridCol w:w="2171"/>
        <w:gridCol w:w="4803"/>
      </w:tblGrid>
      <w:tr w14:paraId="7F0340E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Align w:val="center"/>
          </w:tcPr>
          <w:p w14:paraId="7F0340E0">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条款号</w:t>
            </w:r>
          </w:p>
        </w:tc>
        <w:tc>
          <w:tcPr>
            <w:tcW w:w="1680" w:type="dxa"/>
            <w:vAlign w:val="center"/>
          </w:tcPr>
          <w:p w14:paraId="7F0340E1">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评审因素</w:t>
            </w:r>
          </w:p>
        </w:tc>
        <w:tc>
          <w:tcPr>
            <w:tcW w:w="6974" w:type="dxa"/>
            <w:gridSpan w:val="2"/>
            <w:vAlign w:val="center"/>
          </w:tcPr>
          <w:p w14:paraId="7F0340E2">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评审标准</w:t>
            </w:r>
          </w:p>
        </w:tc>
      </w:tr>
      <w:tr w14:paraId="7F0340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934" w:type="dxa"/>
            <w:vMerge w:val="restart"/>
            <w:tcBorders>
              <w:right w:val="single" w:color="auto" w:sz="4" w:space="0"/>
            </w:tcBorders>
            <w:vAlign w:val="center"/>
          </w:tcPr>
          <w:p w14:paraId="7F0340E4">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2.1.1</w:t>
            </w:r>
          </w:p>
        </w:tc>
        <w:tc>
          <w:tcPr>
            <w:tcW w:w="1680" w:type="dxa"/>
            <w:vMerge w:val="restart"/>
            <w:tcBorders>
              <w:right w:val="single" w:color="auto" w:sz="4" w:space="0"/>
            </w:tcBorders>
            <w:vAlign w:val="center"/>
          </w:tcPr>
          <w:p w14:paraId="7F0340E5">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资格评审标准</w:t>
            </w:r>
          </w:p>
        </w:tc>
        <w:tc>
          <w:tcPr>
            <w:tcW w:w="2171" w:type="dxa"/>
            <w:tcBorders>
              <w:left w:val="single" w:color="auto" w:sz="4" w:space="0"/>
            </w:tcBorders>
            <w:vAlign w:val="center"/>
          </w:tcPr>
          <w:p w14:paraId="7F0340E6">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独立法人资格</w:t>
            </w:r>
          </w:p>
        </w:tc>
        <w:tc>
          <w:tcPr>
            <w:tcW w:w="4803" w:type="dxa"/>
            <w:vAlign w:val="center"/>
          </w:tcPr>
          <w:p w14:paraId="7F0340E7">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0E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934" w:type="dxa"/>
            <w:vMerge w:val="continue"/>
            <w:tcBorders>
              <w:right w:val="single" w:color="auto" w:sz="4" w:space="0"/>
            </w:tcBorders>
          </w:tcPr>
          <w:p w14:paraId="7F0340E9">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0EA">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tcPr>
          <w:p w14:paraId="7F0340EB">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资质要求</w:t>
            </w:r>
          </w:p>
        </w:tc>
        <w:tc>
          <w:tcPr>
            <w:tcW w:w="4803" w:type="dxa"/>
            <w:vAlign w:val="center"/>
          </w:tcPr>
          <w:p w14:paraId="7F0340EC">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0F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85" w:hRule="atLeast"/>
          <w:jc w:val="center"/>
        </w:trPr>
        <w:tc>
          <w:tcPr>
            <w:tcW w:w="934" w:type="dxa"/>
            <w:vMerge w:val="continue"/>
            <w:tcBorders>
              <w:right w:val="single" w:color="auto" w:sz="4" w:space="0"/>
            </w:tcBorders>
          </w:tcPr>
          <w:p w14:paraId="7F0340EE">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0EF">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0F0">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财务要求</w:t>
            </w:r>
          </w:p>
        </w:tc>
        <w:tc>
          <w:tcPr>
            <w:tcW w:w="4803" w:type="dxa"/>
            <w:vAlign w:val="center"/>
          </w:tcPr>
          <w:p w14:paraId="7F0340F1">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0F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34" w:type="dxa"/>
            <w:vMerge w:val="continue"/>
            <w:tcBorders>
              <w:right w:val="single" w:color="auto" w:sz="4" w:space="0"/>
            </w:tcBorders>
          </w:tcPr>
          <w:p w14:paraId="7F0340F3">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0F4">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tcPr>
          <w:p w14:paraId="7F0340F5">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业绩要求</w:t>
            </w:r>
          </w:p>
        </w:tc>
        <w:tc>
          <w:tcPr>
            <w:tcW w:w="4803" w:type="dxa"/>
            <w:vAlign w:val="center"/>
          </w:tcPr>
          <w:p w14:paraId="7F0340F6">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0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continue"/>
            <w:tcBorders>
              <w:right w:val="single" w:color="auto" w:sz="4" w:space="0"/>
            </w:tcBorders>
          </w:tcPr>
          <w:p w14:paraId="7F0340F8">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0F9">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tcPr>
          <w:p w14:paraId="7F0340FA">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szCs w:val="21"/>
                <w:highlight w:val="none"/>
              </w:rPr>
              <w:t>投标截止日投标资格情况</w:t>
            </w:r>
          </w:p>
        </w:tc>
        <w:tc>
          <w:tcPr>
            <w:tcW w:w="4803" w:type="dxa"/>
            <w:vAlign w:val="center"/>
          </w:tcPr>
          <w:p w14:paraId="7F0340FB">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10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934" w:type="dxa"/>
            <w:vMerge w:val="continue"/>
            <w:tcBorders>
              <w:right w:val="single" w:color="auto" w:sz="4" w:space="0"/>
            </w:tcBorders>
          </w:tcPr>
          <w:p w14:paraId="7F0340FD">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0FE">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tcPr>
          <w:p w14:paraId="7F0340FF">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其他要求</w:t>
            </w:r>
          </w:p>
        </w:tc>
        <w:tc>
          <w:tcPr>
            <w:tcW w:w="4803" w:type="dxa"/>
            <w:vAlign w:val="center"/>
          </w:tcPr>
          <w:p w14:paraId="7F034100">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符合第二章“投标人须知”第1.4.1项规定。</w:t>
            </w:r>
          </w:p>
        </w:tc>
      </w:tr>
      <w:tr w14:paraId="7F0341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restart"/>
            <w:tcBorders>
              <w:right w:val="single" w:color="auto" w:sz="4" w:space="0"/>
            </w:tcBorders>
            <w:vAlign w:val="center"/>
          </w:tcPr>
          <w:p w14:paraId="7F034102">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2.1.2</w:t>
            </w:r>
          </w:p>
        </w:tc>
        <w:tc>
          <w:tcPr>
            <w:tcW w:w="1680" w:type="dxa"/>
            <w:vMerge w:val="restart"/>
            <w:tcBorders>
              <w:right w:val="single" w:color="auto" w:sz="4" w:space="0"/>
            </w:tcBorders>
            <w:vAlign w:val="center"/>
          </w:tcPr>
          <w:p w14:paraId="7F034103">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形式评审标准</w:t>
            </w:r>
          </w:p>
        </w:tc>
        <w:tc>
          <w:tcPr>
            <w:tcW w:w="2171" w:type="dxa"/>
            <w:tcBorders>
              <w:left w:val="single" w:color="auto" w:sz="4" w:space="0"/>
            </w:tcBorders>
            <w:vAlign w:val="center"/>
          </w:tcPr>
          <w:p w14:paraId="7F034104">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投标人名称</w:t>
            </w:r>
          </w:p>
        </w:tc>
        <w:tc>
          <w:tcPr>
            <w:tcW w:w="4803" w:type="dxa"/>
            <w:vAlign w:val="center"/>
          </w:tcPr>
          <w:p w14:paraId="7F034105">
            <w:pPr>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与营业执照、资质证书（如有）一致。</w:t>
            </w:r>
          </w:p>
        </w:tc>
      </w:tr>
      <w:tr w14:paraId="7F03410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4" w:type="dxa"/>
            <w:vMerge w:val="continue"/>
            <w:tcBorders>
              <w:right w:val="single" w:color="auto" w:sz="4" w:space="0"/>
            </w:tcBorders>
          </w:tcPr>
          <w:p w14:paraId="7F034107">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108">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109">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投标文件格式</w:t>
            </w:r>
          </w:p>
        </w:tc>
        <w:tc>
          <w:tcPr>
            <w:tcW w:w="4803" w:type="dxa"/>
            <w:vAlign w:val="center"/>
          </w:tcPr>
          <w:p w14:paraId="7F03410A">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符合第二章“投标人须知</w:t>
            </w:r>
            <w:r>
              <w:rPr>
                <w:rFonts w:ascii="宋体" w:hAnsi="宋体" w:cs="宋体"/>
                <w:b w:val="0"/>
                <w:bCs/>
                <w:color w:val="auto"/>
                <w:highlight w:val="none"/>
              </w:rPr>
              <w:t>”</w:t>
            </w:r>
            <w:r>
              <w:rPr>
                <w:rFonts w:hint="eastAsia" w:ascii="宋体" w:hAnsi="宋体" w:cs="宋体"/>
                <w:b w:val="0"/>
                <w:bCs/>
                <w:color w:val="auto"/>
                <w:highlight w:val="none"/>
              </w:rPr>
              <w:t>第3.7款的要求。</w:t>
            </w:r>
          </w:p>
          <w:p w14:paraId="7F03410B">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编制投标文件时不得对第六章“投标文件格式”的相应要素作实质性修改。</w:t>
            </w:r>
          </w:p>
        </w:tc>
      </w:tr>
      <w:tr w14:paraId="7F0341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934" w:type="dxa"/>
            <w:vMerge w:val="continue"/>
            <w:tcBorders>
              <w:right w:val="single" w:color="auto" w:sz="4" w:space="0"/>
            </w:tcBorders>
          </w:tcPr>
          <w:p w14:paraId="7F03410D">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10E">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10F">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投标文件份数</w:t>
            </w:r>
          </w:p>
        </w:tc>
        <w:tc>
          <w:tcPr>
            <w:tcW w:w="4803" w:type="dxa"/>
            <w:vAlign w:val="center"/>
          </w:tcPr>
          <w:p w14:paraId="7F034110">
            <w:pPr>
              <w:snapToGrid w:val="0"/>
              <w:spacing w:line="400" w:lineRule="exact"/>
              <w:ind w:firstLine="380" w:firstLineChars="181"/>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符合第二章“投标人须知”第3.7.4项规定。</w:t>
            </w:r>
          </w:p>
        </w:tc>
      </w:tr>
      <w:tr w14:paraId="7F0341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07" w:hRule="atLeast"/>
          <w:jc w:val="center"/>
        </w:trPr>
        <w:tc>
          <w:tcPr>
            <w:tcW w:w="934" w:type="dxa"/>
            <w:vMerge w:val="continue"/>
            <w:tcBorders>
              <w:right w:val="single" w:color="auto" w:sz="4" w:space="0"/>
            </w:tcBorders>
          </w:tcPr>
          <w:p w14:paraId="7F034112">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113">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114">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投标文件的签署</w:t>
            </w:r>
          </w:p>
        </w:tc>
        <w:tc>
          <w:tcPr>
            <w:tcW w:w="4803" w:type="dxa"/>
            <w:vAlign w:val="center"/>
          </w:tcPr>
          <w:p w14:paraId="7F034115">
            <w:pPr>
              <w:autoSpaceDE w:val="0"/>
              <w:autoSpaceDN w:val="0"/>
              <w:adjustRightInd w:val="0"/>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第六章 投标文件格式要求法定代表人或其委托代理人签名（或盖章）的须齐全。</w:t>
            </w:r>
          </w:p>
        </w:tc>
      </w:tr>
      <w:tr w14:paraId="7F03411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continue"/>
            <w:tcBorders>
              <w:right w:val="single" w:color="auto" w:sz="4" w:space="0"/>
            </w:tcBorders>
          </w:tcPr>
          <w:p w14:paraId="7F034117">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118">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119">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委托代理人</w:t>
            </w:r>
          </w:p>
        </w:tc>
        <w:tc>
          <w:tcPr>
            <w:tcW w:w="4803" w:type="dxa"/>
            <w:vAlign w:val="center"/>
          </w:tcPr>
          <w:p w14:paraId="7F03411A">
            <w:pPr>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投标人法定代表人的委托代理人有法定代表人签署的授权委托书和投标人为其缴纳的养老保险证明材料。</w:t>
            </w:r>
          </w:p>
        </w:tc>
      </w:tr>
      <w:tr w14:paraId="7F03412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continue"/>
            <w:tcBorders>
              <w:right w:val="single" w:color="auto" w:sz="4" w:space="0"/>
            </w:tcBorders>
          </w:tcPr>
          <w:p w14:paraId="7F03411C">
            <w:pPr>
              <w:spacing w:line="400" w:lineRule="exact"/>
              <w:jc w:val="center"/>
              <w:rPr>
                <w:rFonts w:hint="eastAsia" w:ascii="宋体" w:hAnsi="宋体" w:cs="宋体"/>
                <w:b w:val="0"/>
                <w:bCs/>
                <w:color w:val="auto"/>
                <w:kern w:val="0"/>
                <w:highlight w:val="none"/>
              </w:rPr>
            </w:pPr>
          </w:p>
        </w:tc>
        <w:tc>
          <w:tcPr>
            <w:tcW w:w="1680" w:type="dxa"/>
            <w:vMerge w:val="continue"/>
            <w:tcBorders>
              <w:right w:val="single" w:color="auto" w:sz="4" w:space="0"/>
            </w:tcBorders>
          </w:tcPr>
          <w:p w14:paraId="7F03411D">
            <w:pPr>
              <w:spacing w:line="400" w:lineRule="exact"/>
              <w:jc w:val="center"/>
              <w:rPr>
                <w:rFonts w:hint="eastAsia" w:ascii="宋体" w:hAnsi="宋体" w:cs="宋体"/>
                <w:b w:val="0"/>
                <w:bCs/>
                <w:color w:val="auto"/>
                <w:kern w:val="0"/>
                <w:highlight w:val="none"/>
              </w:rPr>
            </w:pPr>
          </w:p>
        </w:tc>
        <w:tc>
          <w:tcPr>
            <w:tcW w:w="2171" w:type="dxa"/>
            <w:tcBorders>
              <w:left w:val="single" w:color="auto" w:sz="4" w:space="0"/>
            </w:tcBorders>
            <w:vAlign w:val="center"/>
          </w:tcPr>
          <w:p w14:paraId="7F03411E">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highlight w:val="none"/>
              </w:rPr>
              <w:t>备选投标方案</w:t>
            </w:r>
          </w:p>
        </w:tc>
        <w:tc>
          <w:tcPr>
            <w:tcW w:w="4803" w:type="dxa"/>
            <w:vAlign w:val="center"/>
          </w:tcPr>
          <w:p w14:paraId="7F03411F">
            <w:pPr>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除招标文件明确允许提交备选投标方案外，投标人不得提交备选投标方案</w:t>
            </w:r>
          </w:p>
        </w:tc>
      </w:tr>
      <w:tr w14:paraId="7F03412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75" w:hRule="atLeast"/>
          <w:jc w:val="center"/>
        </w:trPr>
        <w:tc>
          <w:tcPr>
            <w:tcW w:w="934" w:type="dxa"/>
            <w:vMerge w:val="restart"/>
            <w:vAlign w:val="center"/>
          </w:tcPr>
          <w:p w14:paraId="7F034121">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2.1.3</w:t>
            </w:r>
          </w:p>
        </w:tc>
        <w:tc>
          <w:tcPr>
            <w:tcW w:w="1680" w:type="dxa"/>
            <w:vMerge w:val="restart"/>
            <w:vAlign w:val="center"/>
          </w:tcPr>
          <w:p w14:paraId="7F034122">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响应性评审标准</w:t>
            </w:r>
          </w:p>
        </w:tc>
        <w:tc>
          <w:tcPr>
            <w:tcW w:w="2171" w:type="dxa"/>
            <w:vAlign w:val="center"/>
          </w:tcPr>
          <w:p w14:paraId="7F034123">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投标内容</w:t>
            </w:r>
          </w:p>
        </w:tc>
        <w:tc>
          <w:tcPr>
            <w:tcW w:w="4803" w:type="dxa"/>
            <w:vAlign w:val="center"/>
          </w:tcPr>
          <w:p w14:paraId="7F034124">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符合第二章“投标人须知”第1.3.1项规定。</w:t>
            </w:r>
          </w:p>
        </w:tc>
      </w:tr>
      <w:tr w14:paraId="7F03412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75" w:hRule="atLeast"/>
          <w:jc w:val="center"/>
        </w:trPr>
        <w:tc>
          <w:tcPr>
            <w:tcW w:w="934" w:type="dxa"/>
            <w:vMerge w:val="continue"/>
            <w:vAlign w:val="center"/>
          </w:tcPr>
          <w:p w14:paraId="7F034126">
            <w:pPr>
              <w:spacing w:line="400" w:lineRule="exact"/>
              <w:jc w:val="center"/>
              <w:rPr>
                <w:rFonts w:hint="eastAsia" w:ascii="宋体" w:hAnsi="宋体" w:cs="宋体"/>
                <w:b w:val="0"/>
                <w:bCs/>
                <w:color w:val="auto"/>
                <w:kern w:val="0"/>
                <w:highlight w:val="none"/>
              </w:rPr>
            </w:pPr>
          </w:p>
        </w:tc>
        <w:tc>
          <w:tcPr>
            <w:tcW w:w="1680" w:type="dxa"/>
            <w:vMerge w:val="continue"/>
            <w:vAlign w:val="center"/>
          </w:tcPr>
          <w:p w14:paraId="7F034127">
            <w:pPr>
              <w:spacing w:line="400" w:lineRule="exact"/>
              <w:jc w:val="center"/>
              <w:rPr>
                <w:rFonts w:hint="eastAsia" w:ascii="宋体" w:hAnsi="宋体" w:cs="宋体"/>
                <w:b w:val="0"/>
                <w:bCs/>
                <w:color w:val="auto"/>
                <w:kern w:val="0"/>
                <w:highlight w:val="none"/>
              </w:rPr>
            </w:pPr>
          </w:p>
        </w:tc>
        <w:tc>
          <w:tcPr>
            <w:tcW w:w="2171" w:type="dxa"/>
            <w:vAlign w:val="center"/>
          </w:tcPr>
          <w:p w14:paraId="7F034128">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投标保证金</w:t>
            </w:r>
          </w:p>
        </w:tc>
        <w:tc>
          <w:tcPr>
            <w:tcW w:w="4803" w:type="dxa"/>
            <w:vAlign w:val="center"/>
          </w:tcPr>
          <w:p w14:paraId="7F034129">
            <w:pPr>
              <w:tabs>
                <w:tab w:val="left" w:pos="601"/>
                <w:tab w:val="left" w:pos="669"/>
              </w:tabs>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符合第二章“投标人须知前附表”</w:t>
            </w:r>
            <w:r>
              <w:rPr>
                <w:rFonts w:hint="eastAsia" w:ascii="宋体" w:hAnsi="宋体" w:cs="宋体"/>
                <w:b w:val="0"/>
                <w:bCs/>
                <w:color w:val="auto"/>
                <w:kern w:val="0"/>
                <w:szCs w:val="21"/>
                <w:highlight w:val="none"/>
              </w:rPr>
              <w:t>第3.4.1项</w:t>
            </w:r>
            <w:r>
              <w:rPr>
                <w:rFonts w:hint="eastAsia" w:ascii="宋体" w:hAnsi="宋体" w:cs="宋体"/>
                <w:b w:val="0"/>
                <w:bCs/>
                <w:color w:val="auto"/>
                <w:kern w:val="0"/>
                <w:highlight w:val="none"/>
              </w:rPr>
              <w:t>规定。</w:t>
            </w:r>
          </w:p>
        </w:tc>
      </w:tr>
      <w:tr w14:paraId="7F0341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45" w:hRule="atLeast"/>
          <w:jc w:val="center"/>
        </w:trPr>
        <w:tc>
          <w:tcPr>
            <w:tcW w:w="934" w:type="dxa"/>
            <w:vMerge w:val="continue"/>
            <w:vAlign w:val="center"/>
          </w:tcPr>
          <w:p w14:paraId="7F03412B">
            <w:pPr>
              <w:spacing w:line="400" w:lineRule="exact"/>
              <w:jc w:val="center"/>
              <w:rPr>
                <w:rFonts w:hint="eastAsia" w:ascii="宋体" w:hAnsi="宋体" w:cs="宋体"/>
                <w:b w:val="0"/>
                <w:bCs/>
                <w:color w:val="auto"/>
                <w:kern w:val="0"/>
                <w:highlight w:val="none"/>
              </w:rPr>
            </w:pPr>
          </w:p>
        </w:tc>
        <w:tc>
          <w:tcPr>
            <w:tcW w:w="1680" w:type="dxa"/>
            <w:vMerge w:val="continue"/>
            <w:textDirection w:val="tbRlV"/>
            <w:vAlign w:val="center"/>
          </w:tcPr>
          <w:p w14:paraId="7F03412C">
            <w:pPr>
              <w:spacing w:line="400" w:lineRule="exact"/>
              <w:jc w:val="center"/>
              <w:rPr>
                <w:rFonts w:hint="eastAsia" w:ascii="宋体" w:hAnsi="宋体" w:cs="宋体"/>
                <w:b w:val="0"/>
                <w:bCs/>
                <w:color w:val="auto"/>
                <w:kern w:val="0"/>
                <w:highlight w:val="none"/>
              </w:rPr>
            </w:pPr>
          </w:p>
        </w:tc>
        <w:tc>
          <w:tcPr>
            <w:tcW w:w="2171" w:type="dxa"/>
            <w:tcBorders>
              <w:top w:val="single" w:color="auto" w:sz="4" w:space="0"/>
            </w:tcBorders>
            <w:vAlign w:val="center"/>
          </w:tcPr>
          <w:p w14:paraId="7F03412D">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权利义务</w:t>
            </w:r>
          </w:p>
        </w:tc>
        <w:tc>
          <w:tcPr>
            <w:tcW w:w="4803" w:type="dxa"/>
            <w:vAlign w:val="center"/>
          </w:tcPr>
          <w:p w14:paraId="7F03412E">
            <w:pPr>
              <w:spacing w:after="62" w:afterLines="20"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符合第四章“合同条款及格式”中的实质性要求和条件，投标文件不应附有招标人不能接受的条件。（由投标人承诺，承诺书格式详见第六章投标文件格式。）</w:t>
            </w:r>
          </w:p>
        </w:tc>
      </w:tr>
      <w:tr w14:paraId="7F03413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738" w:hRule="atLeast"/>
          <w:jc w:val="center"/>
        </w:trPr>
        <w:tc>
          <w:tcPr>
            <w:tcW w:w="934" w:type="dxa"/>
            <w:vMerge w:val="continue"/>
          </w:tcPr>
          <w:p w14:paraId="7F034130">
            <w:pPr>
              <w:spacing w:line="400" w:lineRule="exact"/>
              <w:jc w:val="center"/>
              <w:rPr>
                <w:rFonts w:hint="eastAsia" w:ascii="宋体" w:hAnsi="宋体" w:cs="宋体"/>
                <w:b w:val="0"/>
                <w:bCs/>
                <w:color w:val="auto"/>
                <w:highlight w:val="none"/>
              </w:rPr>
            </w:pPr>
          </w:p>
        </w:tc>
        <w:tc>
          <w:tcPr>
            <w:tcW w:w="1680" w:type="dxa"/>
            <w:vMerge w:val="continue"/>
          </w:tcPr>
          <w:p w14:paraId="7F034131">
            <w:pPr>
              <w:spacing w:line="400" w:lineRule="exact"/>
              <w:jc w:val="center"/>
              <w:rPr>
                <w:rFonts w:hint="eastAsia" w:ascii="宋体" w:hAnsi="宋体" w:cs="宋体"/>
                <w:b w:val="0"/>
                <w:bCs/>
                <w:color w:val="auto"/>
                <w:highlight w:val="none"/>
              </w:rPr>
            </w:pPr>
          </w:p>
        </w:tc>
        <w:tc>
          <w:tcPr>
            <w:tcW w:w="2171" w:type="dxa"/>
            <w:vAlign w:val="center"/>
          </w:tcPr>
          <w:p w14:paraId="7F034132">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质量标准和技术性能</w:t>
            </w:r>
          </w:p>
        </w:tc>
        <w:tc>
          <w:tcPr>
            <w:tcW w:w="4803" w:type="dxa"/>
            <w:vAlign w:val="center"/>
          </w:tcPr>
          <w:p w14:paraId="7F034133">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w:t>
            </w:r>
            <w:r>
              <w:rPr>
                <w:rFonts w:hint="eastAsia" w:ascii="宋体" w:hAnsi="宋体" w:cs="宋体"/>
                <w:b w:val="0"/>
                <w:bCs/>
                <w:color w:val="auto"/>
                <w:kern w:val="0"/>
                <w:szCs w:val="21"/>
                <w:highlight w:val="none"/>
              </w:rPr>
              <w:t>第1.3.4项</w:t>
            </w:r>
            <w:r>
              <w:rPr>
                <w:rFonts w:hint="eastAsia" w:ascii="宋体" w:hAnsi="宋体" w:cs="宋体"/>
                <w:b w:val="0"/>
                <w:bCs/>
                <w:color w:val="auto"/>
                <w:kern w:val="0"/>
                <w:highlight w:val="none"/>
              </w:rPr>
              <w:t>规定。</w:t>
            </w:r>
          </w:p>
        </w:tc>
      </w:tr>
      <w:tr w14:paraId="7F03413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979" w:hRule="atLeast"/>
          <w:jc w:val="center"/>
        </w:trPr>
        <w:tc>
          <w:tcPr>
            <w:tcW w:w="934" w:type="dxa"/>
            <w:vMerge w:val="continue"/>
          </w:tcPr>
          <w:p w14:paraId="7F034135">
            <w:pPr>
              <w:spacing w:line="400" w:lineRule="exact"/>
              <w:rPr>
                <w:rFonts w:hint="eastAsia" w:ascii="宋体" w:hAnsi="宋体" w:cs="宋体"/>
                <w:b w:val="0"/>
                <w:bCs/>
                <w:color w:val="auto"/>
                <w:highlight w:val="none"/>
              </w:rPr>
            </w:pPr>
          </w:p>
        </w:tc>
        <w:tc>
          <w:tcPr>
            <w:tcW w:w="1680" w:type="dxa"/>
            <w:vMerge w:val="continue"/>
          </w:tcPr>
          <w:p w14:paraId="7F034136">
            <w:pPr>
              <w:spacing w:line="400" w:lineRule="exact"/>
              <w:rPr>
                <w:rFonts w:hint="eastAsia" w:ascii="宋体" w:hAnsi="宋体" w:cs="宋体"/>
                <w:b w:val="0"/>
                <w:bCs/>
                <w:color w:val="auto"/>
                <w:highlight w:val="none"/>
              </w:rPr>
            </w:pPr>
          </w:p>
        </w:tc>
        <w:tc>
          <w:tcPr>
            <w:tcW w:w="2171" w:type="dxa"/>
            <w:vAlign w:val="center"/>
          </w:tcPr>
          <w:p w14:paraId="7F034137">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其他实质性要求</w:t>
            </w:r>
          </w:p>
        </w:tc>
        <w:tc>
          <w:tcPr>
            <w:tcW w:w="4803" w:type="dxa"/>
            <w:vAlign w:val="center"/>
          </w:tcPr>
          <w:p w14:paraId="7F034138">
            <w:pPr>
              <w:spacing w:after="62" w:afterLines="20"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本次投标不得存在</w:t>
            </w:r>
            <w:r>
              <w:rPr>
                <w:rFonts w:hint="eastAsia" w:ascii="宋体" w:hAnsi="宋体" w:cs="宋体"/>
                <w:b w:val="0"/>
                <w:bCs/>
                <w:color w:val="auto"/>
                <w:highlight w:val="none"/>
              </w:rPr>
              <w:t>弄虚作假</w:t>
            </w:r>
            <w:r>
              <w:rPr>
                <w:rFonts w:hint="eastAsia" w:ascii="宋体" w:hAnsi="宋体" w:cs="宋体"/>
                <w:b w:val="0"/>
                <w:bCs/>
                <w:color w:val="auto"/>
                <w:kern w:val="0"/>
                <w:highlight w:val="none"/>
              </w:rPr>
              <w:t>等其他违反招投标相关法律、法规行为。</w:t>
            </w:r>
          </w:p>
          <w:p w14:paraId="7F034139">
            <w:pPr>
              <w:spacing w:after="62" w:afterLines="20"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按评标委员会要求澄清、说明或补正。</w:t>
            </w:r>
          </w:p>
        </w:tc>
      </w:tr>
      <w:bookmarkEnd w:id="514"/>
      <w:bookmarkEnd w:id="515"/>
      <w:bookmarkEnd w:id="516"/>
      <w:bookmarkEnd w:id="517"/>
      <w:bookmarkEnd w:id="518"/>
      <w:tr w14:paraId="7F03414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528" w:hRule="atLeast"/>
          <w:jc w:val="center"/>
        </w:trPr>
        <w:tc>
          <w:tcPr>
            <w:tcW w:w="934" w:type="dxa"/>
            <w:tcBorders>
              <w:right w:val="single" w:color="auto" w:sz="4" w:space="0"/>
            </w:tcBorders>
            <w:vAlign w:val="center"/>
          </w:tcPr>
          <w:p w14:paraId="7F03413B">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2.2.1</w:t>
            </w:r>
          </w:p>
        </w:tc>
        <w:tc>
          <w:tcPr>
            <w:tcW w:w="1680" w:type="dxa"/>
            <w:tcBorders>
              <w:left w:val="single" w:color="auto" w:sz="4" w:space="0"/>
            </w:tcBorders>
            <w:vAlign w:val="center"/>
          </w:tcPr>
          <w:p w14:paraId="7F03413C">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分值构成</w:t>
            </w:r>
          </w:p>
          <w:p w14:paraId="7F03413D">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 xml:space="preserve"> （总分100分）</w:t>
            </w:r>
          </w:p>
        </w:tc>
        <w:tc>
          <w:tcPr>
            <w:tcW w:w="6974" w:type="dxa"/>
            <w:gridSpan w:val="2"/>
            <w:vAlign w:val="center"/>
          </w:tcPr>
          <w:p w14:paraId="7F03413E">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1.技术评审</w:t>
            </w:r>
            <w:r>
              <w:rPr>
                <w:rFonts w:hint="eastAsia" w:ascii="宋体" w:hAnsi="宋体" w:cs="宋体"/>
                <w:b w:val="0"/>
                <w:bCs/>
                <w:color w:val="auto"/>
                <w:kern w:val="0"/>
                <w:highlight w:val="none"/>
                <w:u w:val="single"/>
              </w:rPr>
              <w:t>　</w:t>
            </w:r>
            <w:r>
              <w:rPr>
                <w:rFonts w:hint="eastAsia" w:ascii="宋体" w:hAnsi="宋体" w:cs="宋体"/>
                <w:b w:val="0"/>
                <w:bCs/>
                <w:color w:val="auto"/>
                <w:kern w:val="0"/>
                <w:highlight w:val="none"/>
                <w:u w:val="single"/>
                <w:lang w:val="en-US" w:eastAsia="zh-CN"/>
              </w:rPr>
              <w:t>4</w:t>
            </w:r>
            <w:r>
              <w:rPr>
                <w:rFonts w:hint="eastAsia" w:ascii="宋体" w:hAnsi="宋体" w:cs="宋体"/>
                <w:b w:val="0"/>
                <w:bCs/>
                <w:color w:val="auto"/>
                <w:kern w:val="0"/>
                <w:highlight w:val="none"/>
                <w:u w:val="single"/>
              </w:rPr>
              <w:t>0　</w:t>
            </w:r>
            <w:r>
              <w:rPr>
                <w:rFonts w:hint="eastAsia" w:ascii="宋体" w:hAnsi="宋体" w:cs="宋体"/>
                <w:b w:val="0"/>
                <w:bCs/>
                <w:color w:val="auto"/>
                <w:kern w:val="0"/>
                <w:highlight w:val="none"/>
              </w:rPr>
              <w:t>分；</w:t>
            </w:r>
          </w:p>
          <w:p w14:paraId="7F03413F">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2.商务评审</w:t>
            </w:r>
            <w:r>
              <w:rPr>
                <w:rFonts w:hint="eastAsia" w:ascii="宋体" w:hAnsi="宋体" w:cs="宋体"/>
                <w:b w:val="0"/>
                <w:bCs/>
                <w:color w:val="auto"/>
                <w:kern w:val="0"/>
                <w:highlight w:val="none"/>
                <w:u w:val="single"/>
              </w:rPr>
              <w:t>　40　</w:t>
            </w:r>
            <w:r>
              <w:rPr>
                <w:rFonts w:hint="eastAsia" w:ascii="宋体" w:hAnsi="宋体" w:cs="宋体"/>
                <w:b w:val="0"/>
                <w:bCs/>
                <w:color w:val="auto"/>
                <w:kern w:val="0"/>
                <w:highlight w:val="none"/>
              </w:rPr>
              <w:t>分；</w:t>
            </w:r>
          </w:p>
          <w:p w14:paraId="7F034140">
            <w:pPr>
              <w:snapToGrid w:val="0"/>
              <w:spacing w:line="400" w:lineRule="exact"/>
              <w:ind w:firstLine="420" w:firstLineChars="200"/>
              <w:rPr>
                <w:rFonts w:hint="eastAsia" w:ascii="宋体" w:hAnsi="宋体" w:cs="宋体"/>
                <w:b w:val="0"/>
                <w:bCs/>
                <w:i/>
                <w:color w:val="auto"/>
                <w:kern w:val="0"/>
                <w:highlight w:val="none"/>
              </w:rPr>
            </w:pPr>
            <w:r>
              <w:rPr>
                <w:rFonts w:hint="eastAsia" w:ascii="宋体" w:hAnsi="宋体" w:cs="宋体"/>
                <w:b w:val="0"/>
                <w:bCs/>
                <w:color w:val="auto"/>
                <w:kern w:val="0"/>
                <w:highlight w:val="none"/>
              </w:rPr>
              <w:t>3.报价评审</w:t>
            </w:r>
            <w:r>
              <w:rPr>
                <w:rFonts w:hint="eastAsia" w:ascii="宋体" w:hAnsi="宋体" w:cs="宋体"/>
                <w:b w:val="0"/>
                <w:bCs/>
                <w:color w:val="auto"/>
                <w:kern w:val="0"/>
                <w:highlight w:val="none"/>
                <w:u w:val="single"/>
              </w:rPr>
              <w:t xml:space="preserve">  </w:t>
            </w:r>
            <w:r>
              <w:rPr>
                <w:rFonts w:hint="eastAsia" w:ascii="宋体" w:hAnsi="宋体" w:cs="宋体"/>
                <w:b w:val="0"/>
                <w:bCs/>
                <w:color w:val="auto"/>
                <w:kern w:val="0"/>
                <w:highlight w:val="none"/>
                <w:u w:val="single"/>
                <w:lang w:val="en-US" w:eastAsia="zh-CN"/>
              </w:rPr>
              <w:t>2</w:t>
            </w:r>
            <w:r>
              <w:rPr>
                <w:rFonts w:hint="eastAsia" w:ascii="宋体" w:hAnsi="宋体" w:cs="宋体"/>
                <w:b w:val="0"/>
                <w:bCs/>
                <w:color w:val="auto"/>
                <w:kern w:val="0"/>
                <w:highlight w:val="none"/>
                <w:u w:val="single"/>
              </w:rPr>
              <w:t xml:space="preserve">0  </w:t>
            </w:r>
            <w:r>
              <w:rPr>
                <w:rFonts w:hint="eastAsia" w:ascii="宋体" w:hAnsi="宋体" w:cs="宋体"/>
                <w:b w:val="0"/>
                <w:bCs/>
                <w:color w:val="auto"/>
                <w:kern w:val="0"/>
                <w:highlight w:val="none"/>
              </w:rPr>
              <w:t>分。</w:t>
            </w:r>
          </w:p>
        </w:tc>
      </w:tr>
      <w:tr w14:paraId="7F03414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restart"/>
            <w:tcBorders>
              <w:right w:val="single" w:color="auto" w:sz="4" w:space="0"/>
            </w:tcBorders>
            <w:vAlign w:val="center"/>
          </w:tcPr>
          <w:p w14:paraId="7F034142">
            <w:pPr>
              <w:spacing w:line="400" w:lineRule="exact"/>
              <w:jc w:val="center"/>
              <w:rPr>
                <w:rFonts w:hint="eastAsia" w:ascii="宋体" w:hAnsi="宋体" w:cs="宋体"/>
                <w:b w:val="0"/>
                <w:bCs/>
                <w:color w:val="auto"/>
                <w:kern w:val="0"/>
                <w:highlight w:val="none"/>
              </w:rPr>
            </w:pPr>
            <w:r>
              <w:rPr>
                <w:rFonts w:hint="eastAsia" w:ascii="宋体" w:hAnsi="宋体"/>
                <w:b w:val="0"/>
                <w:bCs/>
                <w:color w:val="auto"/>
                <w:kern w:val="0"/>
                <w:highlight w:val="none"/>
              </w:rPr>
              <w:t>2.2.</w:t>
            </w:r>
            <w:r>
              <w:rPr>
                <w:rFonts w:hint="eastAsia" w:ascii="宋体" w:hAnsi="宋体"/>
                <w:b w:val="0"/>
                <w:bCs/>
                <w:color w:val="auto"/>
                <w:kern w:val="0"/>
                <w:highlight w:val="none"/>
                <w:lang w:val="en-US" w:eastAsia="zh-CN"/>
              </w:rPr>
              <w:t>2</w:t>
            </w:r>
            <w:r>
              <w:rPr>
                <w:rFonts w:hint="eastAsia" w:ascii="宋体" w:hAnsi="宋体"/>
                <w:b w:val="0"/>
                <w:bCs/>
                <w:color w:val="auto"/>
                <w:kern w:val="0"/>
                <w:highlight w:val="none"/>
              </w:rPr>
              <w:t>（1）</w:t>
            </w:r>
          </w:p>
        </w:tc>
        <w:tc>
          <w:tcPr>
            <w:tcW w:w="1680" w:type="dxa"/>
            <w:vMerge w:val="restart"/>
            <w:tcBorders>
              <w:left w:val="single" w:color="auto" w:sz="4" w:space="0"/>
            </w:tcBorders>
            <w:vAlign w:val="center"/>
          </w:tcPr>
          <w:p w14:paraId="7F034143">
            <w:pPr>
              <w:pStyle w:val="2"/>
              <w:spacing w:after="0" w:line="400" w:lineRule="exact"/>
              <w:jc w:val="center"/>
              <w:rPr>
                <w:rFonts w:hint="eastAsia" w:ascii="宋体" w:hAnsi="宋体" w:cs="宋体"/>
                <w:b w:val="0"/>
                <w:bCs/>
                <w:color w:val="auto"/>
                <w:kern w:val="0"/>
                <w:highlight w:val="none"/>
              </w:rPr>
            </w:pPr>
            <w:r>
              <w:rPr>
                <w:rFonts w:hint="eastAsia" w:ascii="宋体" w:hAnsi="宋体"/>
                <w:b w:val="0"/>
                <w:bCs/>
                <w:color w:val="auto"/>
                <w:kern w:val="0"/>
                <w:highlight w:val="none"/>
              </w:rPr>
              <w:t>技术</w:t>
            </w:r>
            <w:r>
              <w:rPr>
                <w:rFonts w:hint="eastAsia" w:ascii="宋体" w:hAnsi="宋体"/>
                <w:b w:val="0"/>
                <w:bCs/>
                <w:color w:val="auto"/>
                <w:kern w:val="0"/>
                <w:highlight w:val="none"/>
                <w:lang w:val="en-US" w:eastAsia="zh-CN"/>
              </w:rPr>
              <w:t>评审</w:t>
            </w:r>
            <w:r>
              <w:rPr>
                <w:rFonts w:hint="eastAsia" w:ascii="宋体" w:hAnsi="宋体"/>
                <w:b w:val="0"/>
                <w:bCs/>
                <w:color w:val="auto"/>
                <w:kern w:val="0"/>
                <w:highlight w:val="none"/>
              </w:rPr>
              <w:t>标准</w:t>
            </w:r>
            <w:r>
              <w:rPr>
                <w:rFonts w:hint="eastAsia" w:ascii="宋体" w:hAnsi="宋体"/>
                <w:b w:val="0"/>
                <w:bCs/>
                <w:color w:val="auto"/>
                <w:kern w:val="0"/>
                <w:highlight w:val="none"/>
                <w:lang w:eastAsia="zh-CN"/>
              </w:rPr>
              <w:t>（</w:t>
            </w:r>
            <w:r>
              <w:rPr>
                <w:rFonts w:hint="eastAsia" w:ascii="宋体" w:hAnsi="宋体"/>
                <w:b w:val="0"/>
                <w:bCs/>
                <w:color w:val="auto"/>
                <w:kern w:val="0"/>
                <w:highlight w:val="none"/>
                <w:lang w:val="en-US" w:eastAsia="zh-CN"/>
              </w:rPr>
              <w:t>A</w:t>
            </w:r>
            <w:r>
              <w:rPr>
                <w:rFonts w:hint="eastAsia" w:ascii="宋体" w:hAnsi="宋体"/>
                <w:b w:val="0"/>
                <w:bCs/>
                <w:color w:val="auto"/>
                <w:kern w:val="0"/>
                <w:highlight w:val="none"/>
                <w:lang w:eastAsia="zh-CN"/>
              </w:rPr>
              <w:t>）</w:t>
            </w:r>
          </w:p>
        </w:tc>
        <w:tc>
          <w:tcPr>
            <w:tcW w:w="2171" w:type="dxa"/>
            <w:tcBorders>
              <w:bottom w:val="single" w:color="auto" w:sz="4" w:space="0"/>
            </w:tcBorders>
            <w:vAlign w:val="center"/>
          </w:tcPr>
          <w:p w14:paraId="7F034144">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总体评审标准</w:t>
            </w:r>
          </w:p>
        </w:tc>
        <w:tc>
          <w:tcPr>
            <w:tcW w:w="4803" w:type="dxa"/>
            <w:vAlign w:val="center"/>
          </w:tcPr>
          <w:p w14:paraId="7F034145">
            <w:pPr>
              <w:spacing w:line="400" w:lineRule="exact"/>
              <w:ind w:firstLine="420" w:firstLineChars="200"/>
              <w:rPr>
                <w:rFonts w:ascii="宋体" w:hAnsi="宋体" w:cs="宋体"/>
                <w:b w:val="0"/>
                <w:bCs/>
                <w:color w:val="auto"/>
                <w:szCs w:val="22"/>
                <w:highlight w:val="none"/>
              </w:rPr>
            </w:pPr>
            <w:r>
              <w:rPr>
                <w:rFonts w:hint="eastAsia" w:ascii="宋体" w:hAnsi="宋体" w:cs="宋体"/>
                <w:b w:val="0"/>
                <w:bCs/>
                <w:color w:val="auto"/>
                <w:kern w:val="0"/>
                <w:highlight w:val="none"/>
              </w:rPr>
              <w:t>须符合第二章投标人须知前附表第3.7.5项（3）技术部分的要求，否则其技术部分为0分，不再对技术部分的其他评分标准进行评审。</w:t>
            </w:r>
          </w:p>
          <w:p w14:paraId="7F034146">
            <w:pPr>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评标委员会按照优、良、一般、差四个档次进行评分。若评标专家对投标人技术部分单项评分低于该项指标总分值60%的，须对其评分合理性进行说明。评标专家不提供合理性说明或者超过半数的评标专家认为其说明不具备合理性的，应当以其他评标专家评分的算术平均值代替其评分，相关情况应当记入评标报告。技术部分缺项的该项得0分。评标委员会成员为5人及以上时，所有评委评分中去掉一个最高和一个最低分，余下评委评分取算术平均值为该投标人技术部分得分。</w:t>
            </w:r>
          </w:p>
          <w:p w14:paraId="7F034147">
            <w:pPr>
              <w:snapToGrid w:val="0"/>
              <w:spacing w:line="400" w:lineRule="exact"/>
              <w:ind w:firstLine="420" w:firstLineChars="200"/>
              <w:rPr>
                <w:rFonts w:hint="eastAsia" w:ascii="宋体" w:hAnsi="宋体" w:cs="宋体"/>
                <w:b w:val="0"/>
                <w:bCs/>
                <w:color w:val="auto"/>
                <w:highlight w:val="none"/>
                <w:u w:val="single"/>
              </w:rPr>
            </w:pPr>
            <w:r>
              <w:rPr>
                <w:rFonts w:hint="eastAsia" w:ascii="宋体" w:hAnsi="宋体" w:cs="宋体"/>
                <w:b w:val="0"/>
                <w:bCs/>
                <w:color w:val="auto"/>
                <w:kern w:val="0"/>
                <w:szCs w:val="21"/>
                <w:highlight w:val="none"/>
              </w:rPr>
              <w:t>技术部分得分的最终结果保留两位小数，小数点后第三位四舍五入。</w:t>
            </w:r>
          </w:p>
        </w:tc>
      </w:tr>
      <w:tr w14:paraId="7F0341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continue"/>
            <w:tcBorders>
              <w:right w:val="single" w:color="auto" w:sz="4" w:space="0"/>
            </w:tcBorders>
            <w:vAlign w:val="center"/>
          </w:tcPr>
          <w:p w14:paraId="7F034149">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4A">
            <w:pPr>
              <w:pStyle w:val="2"/>
              <w:jc w:val="center"/>
              <w:rPr>
                <w:rFonts w:hint="eastAsia" w:ascii="宋体" w:hAnsi="宋体" w:cs="宋体"/>
                <w:b w:val="0"/>
                <w:bCs/>
                <w:color w:val="auto"/>
                <w:kern w:val="0"/>
                <w:highlight w:val="none"/>
              </w:rPr>
            </w:pPr>
          </w:p>
        </w:tc>
        <w:tc>
          <w:tcPr>
            <w:tcW w:w="2171" w:type="dxa"/>
            <w:tcBorders>
              <w:bottom w:val="single" w:color="auto" w:sz="4" w:space="0"/>
            </w:tcBorders>
            <w:vAlign w:val="center"/>
          </w:tcPr>
          <w:p w14:paraId="7F03414B">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交货进度计划及</w:t>
            </w:r>
          </w:p>
          <w:p w14:paraId="7F03414C">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保证措施</w:t>
            </w:r>
          </w:p>
        </w:tc>
        <w:tc>
          <w:tcPr>
            <w:tcW w:w="4803" w:type="dxa"/>
            <w:vAlign w:val="center"/>
          </w:tcPr>
          <w:p w14:paraId="7F03414D">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highlight w:val="none"/>
                <w:u w:val="single"/>
              </w:rPr>
              <w:t xml:space="preserve"> 0-</w:t>
            </w:r>
            <w:r>
              <w:rPr>
                <w:rFonts w:hint="eastAsia" w:ascii="宋体" w:hAnsi="宋体" w:cs="宋体"/>
                <w:b w:val="0"/>
                <w:bCs/>
                <w:color w:val="auto"/>
                <w:highlight w:val="none"/>
                <w:u w:val="single"/>
                <w:lang w:val="en-US" w:eastAsia="zh-CN"/>
              </w:rPr>
              <w:t>2</w:t>
            </w:r>
            <w:r>
              <w:rPr>
                <w:rFonts w:hint="eastAsia" w:ascii="宋体" w:hAnsi="宋体" w:cs="宋体"/>
                <w:b w:val="0"/>
                <w:bCs/>
                <w:color w:val="auto"/>
                <w:highlight w:val="none"/>
                <w:u w:val="single"/>
              </w:rPr>
              <w:t>0</w:t>
            </w:r>
            <w:r>
              <w:rPr>
                <w:rFonts w:hint="eastAsia" w:ascii="宋体" w:hAnsi="宋体" w:cs="宋体"/>
                <w:b w:val="0"/>
                <w:bCs/>
                <w:color w:val="auto"/>
                <w:highlight w:val="none"/>
              </w:rPr>
              <w:t>分 编制要点：</w:t>
            </w:r>
            <w:r>
              <w:rPr>
                <w:rFonts w:hint="eastAsia" w:ascii="宋体" w:hAnsi="宋体" w:cs="宋体"/>
                <w:b w:val="0"/>
                <w:bCs/>
                <w:color w:val="auto"/>
                <w:highlight w:val="none"/>
                <w:u w:val="single"/>
              </w:rPr>
              <w:t>根据</w:t>
            </w:r>
            <w:r>
              <w:rPr>
                <w:rFonts w:hint="eastAsia" w:ascii="宋体" w:hAnsi="宋体" w:cs="宋体"/>
                <w:b w:val="0"/>
                <w:bCs/>
                <w:color w:val="auto"/>
                <w:highlight w:val="none"/>
                <w:u w:val="single"/>
                <w:lang w:val="en-US" w:eastAsia="zh-CN"/>
              </w:rPr>
              <w:t>投标</w:t>
            </w:r>
            <w:r>
              <w:rPr>
                <w:rFonts w:hint="eastAsia" w:ascii="宋体" w:hAnsi="宋体" w:cs="宋体"/>
                <w:b w:val="0"/>
                <w:bCs/>
                <w:color w:val="auto"/>
                <w:highlight w:val="none"/>
                <w:u w:val="single"/>
              </w:rPr>
              <w:t>人提供的交货进度计划及保证措施，对项目方案的合理性、可行性、全面性进行综合评审，内容包括但不限于：交货进度计划、供货保障措施</w:t>
            </w:r>
            <w:r>
              <w:rPr>
                <w:rFonts w:hint="eastAsia" w:ascii="宋体" w:hAnsi="宋体" w:cs="宋体"/>
                <w:b w:val="0"/>
                <w:bCs/>
                <w:color w:val="auto"/>
                <w:highlight w:val="none"/>
              </w:rPr>
              <w:t>；</w:t>
            </w:r>
            <w:r>
              <w:rPr>
                <w:rFonts w:hint="eastAsia" w:ascii="宋体" w:hAnsi="宋体" w:cs="宋体"/>
                <w:b w:val="0"/>
                <w:bCs/>
                <w:color w:val="auto"/>
                <w:highlight w:val="none"/>
                <w:u w:val="single"/>
              </w:rPr>
              <w:t>优得</w:t>
            </w:r>
            <w:r>
              <w:rPr>
                <w:rFonts w:hint="eastAsia" w:ascii="宋体" w:hAnsi="宋体" w:cs="宋体"/>
                <w:b w:val="0"/>
                <w:bCs/>
                <w:color w:val="auto"/>
                <w:highlight w:val="none"/>
                <w:u w:val="single"/>
                <w:lang w:val="en-US" w:eastAsia="zh-CN"/>
              </w:rPr>
              <w:t>17</w:t>
            </w:r>
            <w:r>
              <w:rPr>
                <w:rFonts w:hint="eastAsia" w:ascii="宋体" w:hAnsi="宋体" w:cs="宋体"/>
                <w:b w:val="0"/>
                <w:bCs/>
                <w:color w:val="auto"/>
                <w:highlight w:val="none"/>
                <w:u w:val="single"/>
              </w:rPr>
              <w:t>分（不含）-</w:t>
            </w:r>
            <w:r>
              <w:rPr>
                <w:rFonts w:hint="eastAsia" w:ascii="宋体" w:hAnsi="宋体" w:cs="宋体"/>
                <w:b w:val="0"/>
                <w:bCs/>
                <w:color w:val="auto"/>
                <w:highlight w:val="none"/>
                <w:u w:val="single"/>
                <w:lang w:val="en-US" w:eastAsia="zh-CN"/>
              </w:rPr>
              <w:t>2</w:t>
            </w:r>
            <w:r>
              <w:rPr>
                <w:rFonts w:hint="eastAsia" w:ascii="宋体" w:hAnsi="宋体" w:cs="宋体"/>
                <w:b w:val="0"/>
                <w:bCs/>
                <w:color w:val="auto"/>
                <w:highlight w:val="none"/>
                <w:u w:val="single"/>
              </w:rPr>
              <w:t>0分，良得</w:t>
            </w:r>
            <w:r>
              <w:rPr>
                <w:rFonts w:hint="eastAsia" w:ascii="宋体" w:hAnsi="宋体" w:cs="宋体"/>
                <w:b w:val="0"/>
                <w:bCs/>
                <w:color w:val="auto"/>
                <w:highlight w:val="none"/>
                <w:u w:val="single"/>
                <w:lang w:val="en-US" w:eastAsia="zh-CN"/>
              </w:rPr>
              <w:t>13</w:t>
            </w:r>
            <w:r>
              <w:rPr>
                <w:rFonts w:hint="eastAsia" w:ascii="宋体" w:hAnsi="宋体" w:cs="宋体"/>
                <w:b w:val="0"/>
                <w:bCs/>
                <w:color w:val="auto"/>
                <w:highlight w:val="none"/>
                <w:u w:val="single"/>
              </w:rPr>
              <w:t>分（不含）-</w:t>
            </w:r>
            <w:r>
              <w:rPr>
                <w:rFonts w:hint="eastAsia" w:ascii="宋体" w:hAnsi="宋体" w:cs="宋体"/>
                <w:b w:val="0"/>
                <w:bCs/>
                <w:color w:val="auto"/>
                <w:highlight w:val="none"/>
                <w:u w:val="single"/>
                <w:lang w:val="en-US" w:eastAsia="zh-CN"/>
              </w:rPr>
              <w:t>16</w:t>
            </w:r>
            <w:r>
              <w:rPr>
                <w:rFonts w:hint="eastAsia" w:ascii="宋体" w:hAnsi="宋体" w:cs="宋体"/>
                <w:b w:val="0"/>
                <w:bCs/>
                <w:color w:val="auto"/>
                <w:highlight w:val="none"/>
                <w:u w:val="single"/>
              </w:rPr>
              <w:t>分，一般得</w:t>
            </w:r>
            <w:r>
              <w:rPr>
                <w:rFonts w:hint="eastAsia" w:ascii="宋体" w:hAnsi="宋体" w:cs="宋体"/>
                <w:b w:val="0"/>
                <w:bCs/>
                <w:color w:val="auto"/>
                <w:highlight w:val="none"/>
                <w:u w:val="single"/>
                <w:lang w:val="en-US" w:eastAsia="zh-CN"/>
              </w:rPr>
              <w:t>9</w:t>
            </w:r>
            <w:r>
              <w:rPr>
                <w:rFonts w:hint="eastAsia" w:ascii="宋体" w:hAnsi="宋体" w:cs="宋体"/>
                <w:b w:val="0"/>
                <w:bCs/>
                <w:color w:val="auto"/>
                <w:highlight w:val="none"/>
                <w:u w:val="single"/>
              </w:rPr>
              <w:t>分（不含）-</w:t>
            </w:r>
            <w:r>
              <w:rPr>
                <w:rFonts w:hint="eastAsia" w:ascii="宋体" w:hAnsi="宋体" w:cs="宋体"/>
                <w:b w:val="0"/>
                <w:bCs/>
                <w:color w:val="auto"/>
                <w:highlight w:val="none"/>
                <w:u w:val="single"/>
                <w:lang w:val="en-US" w:eastAsia="zh-CN"/>
              </w:rPr>
              <w:t>12</w:t>
            </w:r>
            <w:r>
              <w:rPr>
                <w:rFonts w:hint="eastAsia" w:ascii="宋体" w:hAnsi="宋体" w:cs="宋体"/>
                <w:b w:val="0"/>
                <w:bCs/>
                <w:color w:val="auto"/>
                <w:highlight w:val="none"/>
                <w:u w:val="single"/>
              </w:rPr>
              <w:t>分，差得0分-</w:t>
            </w:r>
            <w:r>
              <w:rPr>
                <w:rFonts w:hint="eastAsia" w:ascii="宋体" w:hAnsi="宋体" w:cs="宋体"/>
                <w:b w:val="0"/>
                <w:bCs/>
                <w:color w:val="auto"/>
                <w:highlight w:val="none"/>
                <w:u w:val="single"/>
                <w:lang w:val="en-US" w:eastAsia="zh-CN"/>
              </w:rPr>
              <w:t>8</w:t>
            </w:r>
            <w:r>
              <w:rPr>
                <w:rFonts w:hint="eastAsia" w:ascii="宋体" w:hAnsi="宋体" w:cs="宋体"/>
                <w:b w:val="0"/>
                <w:bCs/>
                <w:color w:val="auto"/>
                <w:highlight w:val="none"/>
                <w:u w:val="single"/>
              </w:rPr>
              <w:t>分。</w:t>
            </w:r>
          </w:p>
        </w:tc>
      </w:tr>
      <w:tr w14:paraId="7F03415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continue"/>
            <w:tcBorders>
              <w:right w:val="single" w:color="auto" w:sz="4" w:space="0"/>
            </w:tcBorders>
            <w:vAlign w:val="center"/>
          </w:tcPr>
          <w:p w14:paraId="7F03414F">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50">
            <w:pPr>
              <w:pStyle w:val="2"/>
              <w:jc w:val="center"/>
              <w:rPr>
                <w:rFonts w:hint="eastAsia" w:ascii="宋体" w:hAnsi="宋体" w:cs="宋体"/>
                <w:b w:val="0"/>
                <w:bCs/>
                <w:color w:val="auto"/>
                <w:kern w:val="0"/>
                <w:highlight w:val="none"/>
              </w:rPr>
            </w:pPr>
          </w:p>
        </w:tc>
        <w:tc>
          <w:tcPr>
            <w:tcW w:w="2171" w:type="dxa"/>
            <w:tcBorders>
              <w:bottom w:val="single" w:color="auto" w:sz="4" w:space="0"/>
            </w:tcBorders>
            <w:vAlign w:val="center"/>
          </w:tcPr>
          <w:p w14:paraId="7F034151">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质量保证措施</w:t>
            </w:r>
          </w:p>
        </w:tc>
        <w:tc>
          <w:tcPr>
            <w:tcW w:w="4803" w:type="dxa"/>
            <w:vAlign w:val="center"/>
          </w:tcPr>
          <w:p w14:paraId="7F034152">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highlight w:val="none"/>
                <w:u w:val="single"/>
              </w:rPr>
              <w:t>0-10</w:t>
            </w:r>
            <w:r>
              <w:rPr>
                <w:rFonts w:hint="eastAsia" w:ascii="宋体" w:hAnsi="宋体" w:cs="宋体"/>
                <w:b w:val="0"/>
                <w:bCs/>
                <w:color w:val="auto"/>
                <w:highlight w:val="none"/>
              </w:rPr>
              <w:t>分 编制要点：</w:t>
            </w:r>
            <w:r>
              <w:rPr>
                <w:rFonts w:hint="eastAsia" w:ascii="宋体" w:hAnsi="宋体" w:cs="宋体"/>
                <w:b w:val="0"/>
                <w:bCs/>
                <w:color w:val="auto"/>
                <w:highlight w:val="none"/>
                <w:u w:val="single"/>
              </w:rPr>
              <w:t>根据</w:t>
            </w:r>
            <w:r>
              <w:rPr>
                <w:rFonts w:hint="eastAsia" w:ascii="宋体" w:hAnsi="宋体" w:cs="宋体"/>
                <w:b w:val="0"/>
                <w:bCs/>
                <w:color w:val="auto"/>
                <w:highlight w:val="none"/>
                <w:u w:val="single"/>
                <w:lang w:eastAsia="zh-CN"/>
              </w:rPr>
              <w:t>投标人</w:t>
            </w:r>
            <w:r>
              <w:rPr>
                <w:rFonts w:hint="eastAsia" w:ascii="宋体" w:hAnsi="宋体" w:cs="宋体"/>
                <w:b w:val="0"/>
                <w:bCs/>
                <w:color w:val="auto"/>
                <w:highlight w:val="none"/>
                <w:u w:val="single"/>
              </w:rPr>
              <w:t>提供的方案，对质量保障措施的合理性、可行性、全面性进行综合分析。内容包括但不限于：产品质量保证措施、安全管理保障措施、实施质量保证措施量管理措施、应急处理方案</w:t>
            </w:r>
            <w:r>
              <w:rPr>
                <w:rFonts w:hint="eastAsia" w:ascii="宋体" w:hAnsi="宋体" w:cs="宋体"/>
                <w:b w:val="0"/>
                <w:bCs/>
                <w:color w:val="auto"/>
                <w:highlight w:val="none"/>
              </w:rPr>
              <w:t>；</w:t>
            </w:r>
            <w:r>
              <w:rPr>
                <w:rFonts w:hint="eastAsia" w:ascii="宋体" w:hAnsi="宋体" w:cs="宋体"/>
                <w:b w:val="0"/>
                <w:bCs/>
                <w:color w:val="auto"/>
                <w:highlight w:val="none"/>
                <w:u w:val="single"/>
              </w:rPr>
              <w:t>优得9分（不含）-10分，良得8分（不含）-9分，一般得6分（不含）-8分，差得0分-6分。</w:t>
            </w:r>
          </w:p>
        </w:tc>
      </w:tr>
      <w:tr w14:paraId="7F03415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continue"/>
            <w:tcBorders>
              <w:right w:val="single" w:color="auto" w:sz="4" w:space="0"/>
            </w:tcBorders>
            <w:vAlign w:val="center"/>
          </w:tcPr>
          <w:p w14:paraId="7F034154">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55">
            <w:pPr>
              <w:pStyle w:val="2"/>
              <w:jc w:val="center"/>
              <w:rPr>
                <w:rFonts w:hint="eastAsia" w:ascii="宋体" w:hAnsi="宋体" w:cs="宋体"/>
                <w:b w:val="0"/>
                <w:bCs/>
                <w:color w:val="auto"/>
                <w:kern w:val="0"/>
                <w:highlight w:val="none"/>
              </w:rPr>
            </w:pPr>
          </w:p>
        </w:tc>
        <w:tc>
          <w:tcPr>
            <w:tcW w:w="2171" w:type="dxa"/>
            <w:tcBorders>
              <w:bottom w:val="single" w:color="auto" w:sz="4" w:space="0"/>
            </w:tcBorders>
            <w:vAlign w:val="center"/>
          </w:tcPr>
          <w:p w14:paraId="7F034156">
            <w:pPr>
              <w:tabs>
                <w:tab w:val="left" w:pos="1875"/>
              </w:tabs>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技术服务和质保期服务措施</w:t>
            </w:r>
          </w:p>
        </w:tc>
        <w:tc>
          <w:tcPr>
            <w:tcW w:w="4803" w:type="dxa"/>
            <w:vAlign w:val="center"/>
          </w:tcPr>
          <w:p w14:paraId="7F034157">
            <w:pPr>
              <w:snapToGrid w:val="0"/>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highlight w:val="none"/>
                <w:u w:val="single"/>
              </w:rPr>
              <w:t xml:space="preserve">0-10 </w:t>
            </w:r>
            <w:r>
              <w:rPr>
                <w:rFonts w:hint="eastAsia" w:ascii="宋体" w:hAnsi="宋体" w:cs="宋体"/>
                <w:b w:val="0"/>
                <w:bCs/>
                <w:color w:val="auto"/>
                <w:highlight w:val="none"/>
              </w:rPr>
              <w:t>分 编制要点：</w:t>
            </w:r>
            <w:r>
              <w:rPr>
                <w:rFonts w:hint="eastAsia" w:ascii="宋体" w:hAnsi="宋体" w:cs="宋体"/>
                <w:b w:val="0"/>
                <w:bCs/>
                <w:color w:val="auto"/>
                <w:highlight w:val="none"/>
                <w:u w:val="single"/>
              </w:rPr>
              <w:t>根据</w:t>
            </w:r>
            <w:r>
              <w:rPr>
                <w:rFonts w:hint="eastAsia" w:ascii="宋体" w:hAnsi="宋体" w:cs="宋体"/>
                <w:b w:val="0"/>
                <w:bCs/>
                <w:color w:val="auto"/>
                <w:highlight w:val="none"/>
                <w:u w:val="single"/>
                <w:lang w:eastAsia="zh-CN"/>
              </w:rPr>
              <w:t>投标人</w:t>
            </w:r>
            <w:r>
              <w:rPr>
                <w:rFonts w:hint="eastAsia" w:ascii="宋体" w:hAnsi="宋体" w:cs="宋体"/>
                <w:b w:val="0"/>
                <w:bCs/>
                <w:color w:val="auto"/>
                <w:highlight w:val="none"/>
                <w:u w:val="single"/>
              </w:rPr>
              <w:t>提供的方案，对售后服务方案的合理性、可行性、全面性进行综合分析，内容包括但不限于：质保期内外服务内容、售后响应方案与流程</w:t>
            </w:r>
            <w:r>
              <w:rPr>
                <w:rFonts w:hint="eastAsia" w:ascii="宋体" w:hAnsi="宋体" w:cs="宋体"/>
                <w:b w:val="0"/>
                <w:bCs/>
                <w:color w:val="auto"/>
                <w:highlight w:val="none"/>
              </w:rPr>
              <w:t>；</w:t>
            </w:r>
            <w:r>
              <w:rPr>
                <w:rFonts w:hint="eastAsia" w:ascii="宋体" w:hAnsi="宋体" w:cs="宋体"/>
                <w:b w:val="0"/>
                <w:bCs/>
                <w:color w:val="auto"/>
                <w:highlight w:val="none"/>
                <w:u w:val="single"/>
              </w:rPr>
              <w:t>优得9分（不含）-10分，良得8分（不含）-9分，一般得6分（不含）-8分，差得0分-6分。</w:t>
            </w:r>
          </w:p>
        </w:tc>
      </w:tr>
      <w:tr w14:paraId="7F0341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6" w:hRule="atLeast"/>
          <w:jc w:val="center"/>
        </w:trPr>
        <w:tc>
          <w:tcPr>
            <w:tcW w:w="934" w:type="dxa"/>
            <w:vMerge w:val="restart"/>
            <w:tcBorders>
              <w:right w:val="single" w:color="auto" w:sz="4" w:space="0"/>
            </w:tcBorders>
            <w:vAlign w:val="center"/>
          </w:tcPr>
          <w:p w14:paraId="7F034159">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2.2.2（2）</w:t>
            </w:r>
          </w:p>
        </w:tc>
        <w:tc>
          <w:tcPr>
            <w:tcW w:w="1680" w:type="dxa"/>
            <w:vMerge w:val="restart"/>
            <w:tcBorders>
              <w:left w:val="single" w:color="auto" w:sz="4" w:space="0"/>
            </w:tcBorders>
            <w:vAlign w:val="center"/>
          </w:tcPr>
          <w:p w14:paraId="7F03415A">
            <w:pPr>
              <w:spacing w:line="400" w:lineRule="exact"/>
              <w:ind w:left="-63" w:leftChars="-30" w:right="-63" w:rightChars="-30"/>
              <w:jc w:val="center"/>
              <w:rPr>
                <w:rFonts w:ascii="宋体" w:hAnsi="宋体" w:cs="宋体"/>
                <w:b w:val="0"/>
                <w:bCs/>
                <w:color w:val="auto"/>
                <w:highlight w:val="none"/>
              </w:rPr>
            </w:pPr>
            <w:r>
              <w:rPr>
                <w:rFonts w:hint="eastAsia" w:ascii="宋体" w:hAnsi="宋体" w:cs="宋体"/>
                <w:b w:val="0"/>
                <w:bCs/>
                <w:color w:val="auto"/>
                <w:highlight w:val="none"/>
              </w:rPr>
              <w:t>商务评审标准（B）</w:t>
            </w:r>
          </w:p>
        </w:tc>
        <w:tc>
          <w:tcPr>
            <w:tcW w:w="2171" w:type="dxa"/>
            <w:vAlign w:val="center"/>
          </w:tcPr>
          <w:p w14:paraId="7F03415B">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szCs w:val="22"/>
                <w:highlight w:val="none"/>
              </w:rPr>
              <w:t>总体评审标准</w:t>
            </w:r>
          </w:p>
        </w:tc>
        <w:tc>
          <w:tcPr>
            <w:tcW w:w="4803" w:type="dxa"/>
            <w:vAlign w:val="center"/>
          </w:tcPr>
          <w:p w14:paraId="7F03415C">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商务评分为客观评分，评标委员会按以下各评审因素设定的分值进行评分且保证分值统一。</w:t>
            </w:r>
          </w:p>
        </w:tc>
      </w:tr>
      <w:tr w14:paraId="7F0341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7F03415E">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5F">
            <w:pPr>
              <w:spacing w:line="400" w:lineRule="exact"/>
              <w:ind w:left="-63" w:leftChars="-30" w:right="-63" w:rightChars="-30"/>
              <w:jc w:val="center"/>
              <w:rPr>
                <w:rFonts w:ascii="宋体" w:hAnsi="宋体" w:cs="宋体"/>
                <w:b w:val="0"/>
                <w:bCs/>
                <w:color w:val="auto"/>
                <w:highlight w:val="none"/>
              </w:rPr>
            </w:pPr>
          </w:p>
        </w:tc>
        <w:tc>
          <w:tcPr>
            <w:tcW w:w="2171" w:type="dxa"/>
            <w:vAlign w:val="center"/>
          </w:tcPr>
          <w:p w14:paraId="7F034160">
            <w:pPr>
              <w:tabs>
                <w:tab w:val="left" w:pos="1875"/>
              </w:tabs>
              <w:spacing w:line="400" w:lineRule="exact"/>
              <w:rPr>
                <w:rFonts w:hint="eastAsia" w:ascii="宋体" w:hAnsi="宋体" w:cs="宋体"/>
                <w:b w:val="0"/>
                <w:bCs/>
                <w:color w:val="auto"/>
                <w:highlight w:val="none"/>
              </w:rPr>
            </w:pPr>
            <w:r>
              <w:rPr>
                <w:rFonts w:hint="eastAsia" w:ascii="宋体" w:hAnsi="宋体" w:cs="宋体"/>
                <w:b w:val="0"/>
                <w:bCs/>
                <w:color w:val="auto"/>
                <w:highlight w:val="none"/>
              </w:rPr>
              <w:t>类似业绩</w:t>
            </w:r>
          </w:p>
        </w:tc>
        <w:tc>
          <w:tcPr>
            <w:tcW w:w="4803" w:type="dxa"/>
            <w:vAlign w:val="center"/>
          </w:tcPr>
          <w:p w14:paraId="0554B362">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在通过资格审查的基础上（通过资格审查的业绩不参与商务评审），代理商投标的，自</w:t>
            </w:r>
            <w:r>
              <w:rPr>
                <w:rFonts w:hint="eastAsia" w:ascii="宋体" w:hAnsi="宋体" w:cs="宋体"/>
                <w:b w:val="0"/>
                <w:bCs/>
                <w:color w:val="auto"/>
                <w:szCs w:val="21"/>
                <w:highlight w:val="none"/>
                <w:u w:val="single"/>
              </w:rPr>
              <w:t xml:space="preserve"> 2023</w:t>
            </w:r>
            <w:r>
              <w:rPr>
                <w:rFonts w:hint="eastAsia" w:ascii="宋体" w:hAnsi="宋体" w:cs="宋体"/>
                <w:b w:val="0"/>
                <w:bCs/>
                <w:color w:val="auto"/>
                <w:szCs w:val="21"/>
                <w:highlight w:val="none"/>
              </w:rPr>
              <w:t>年1月1日起至投标截止日止（以合同签订时间为准），每增加1个</w:t>
            </w:r>
            <w:r>
              <w:rPr>
                <w:rFonts w:hint="eastAsia" w:ascii="宋体" w:hAnsi="宋体" w:cs="宋体"/>
                <w:b w:val="0"/>
                <w:bCs/>
                <w:color w:val="auto"/>
                <w:szCs w:val="21"/>
                <w:highlight w:val="none"/>
                <w:u w:val="single"/>
              </w:rPr>
              <w:t xml:space="preserve"> 所投标段招标文件对应的类似设备 </w:t>
            </w:r>
            <w:r>
              <w:rPr>
                <w:rFonts w:hint="eastAsia" w:ascii="宋体" w:hAnsi="宋体" w:cs="宋体"/>
                <w:b w:val="0"/>
                <w:bCs/>
                <w:color w:val="auto"/>
                <w:szCs w:val="21"/>
                <w:highlight w:val="none"/>
              </w:rPr>
              <w:t>供货及安装业绩得</w:t>
            </w:r>
            <w:r>
              <w:rPr>
                <w:rFonts w:hint="eastAsia" w:ascii="宋体" w:hAnsi="宋体" w:cs="宋体"/>
                <w:b w:val="0"/>
                <w:bCs/>
                <w:color w:val="auto"/>
                <w:szCs w:val="21"/>
                <w:highlight w:val="none"/>
                <w:u w:val="single"/>
              </w:rPr>
              <w:t xml:space="preserve"> 3 </w:t>
            </w:r>
            <w:r>
              <w:rPr>
                <w:rFonts w:hint="eastAsia" w:ascii="宋体" w:hAnsi="宋体" w:cs="宋体"/>
                <w:b w:val="0"/>
                <w:bCs/>
                <w:color w:val="auto"/>
                <w:szCs w:val="21"/>
                <w:highlight w:val="none"/>
              </w:rPr>
              <w:t>分。</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该加分项一标段最高分可得16分，二标段、三标段的最高分可得12分</w:t>
            </w:r>
            <w:r>
              <w:rPr>
                <w:rFonts w:hint="eastAsia" w:ascii="宋体" w:hAnsi="宋体" w:cs="宋体"/>
                <w:b w:val="0"/>
                <w:bCs/>
                <w:color w:val="auto"/>
                <w:szCs w:val="21"/>
                <w:highlight w:val="none"/>
                <w:lang w:eastAsia="zh-CN"/>
              </w:rPr>
              <w:t>）。</w:t>
            </w:r>
          </w:p>
          <w:p w14:paraId="7F034163">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在通过资格审查的基础上（通过资格审查的业绩不参与商务评审），制造商投标的，自</w:t>
            </w:r>
            <w:r>
              <w:rPr>
                <w:rFonts w:hint="eastAsia" w:ascii="宋体" w:hAnsi="宋体" w:cs="宋体"/>
                <w:b w:val="0"/>
                <w:bCs/>
                <w:color w:val="auto"/>
                <w:szCs w:val="21"/>
                <w:highlight w:val="none"/>
                <w:u w:val="single"/>
              </w:rPr>
              <w:t xml:space="preserve"> 2023 </w:t>
            </w:r>
            <w:r>
              <w:rPr>
                <w:rFonts w:hint="eastAsia" w:ascii="宋体" w:hAnsi="宋体" w:cs="宋体"/>
                <w:b w:val="0"/>
                <w:bCs/>
                <w:color w:val="auto"/>
                <w:szCs w:val="21"/>
                <w:highlight w:val="none"/>
              </w:rPr>
              <w:t>年1月1日起至投标截止日止（以合同签订时间为准），每增加1个</w:t>
            </w:r>
            <w:r>
              <w:rPr>
                <w:rFonts w:hint="eastAsia" w:ascii="宋体" w:hAnsi="宋体" w:cs="宋体"/>
                <w:b w:val="0"/>
                <w:bCs/>
                <w:color w:val="auto"/>
                <w:szCs w:val="21"/>
                <w:highlight w:val="none"/>
                <w:u w:val="single"/>
              </w:rPr>
              <w:t xml:space="preserve"> 所投标段招标文件对应的类似设备 </w:t>
            </w:r>
            <w:r>
              <w:rPr>
                <w:rFonts w:hint="eastAsia" w:ascii="宋体" w:hAnsi="宋体" w:cs="宋体"/>
                <w:b w:val="0"/>
                <w:bCs/>
                <w:color w:val="auto"/>
                <w:szCs w:val="21"/>
                <w:highlight w:val="none"/>
              </w:rPr>
              <w:t>供货业绩供货及安装业绩得</w:t>
            </w:r>
            <w:r>
              <w:rPr>
                <w:rFonts w:hint="eastAsia" w:ascii="宋体" w:hAnsi="宋体" w:cs="宋体"/>
                <w:b w:val="0"/>
                <w:bCs/>
                <w:color w:val="auto"/>
                <w:szCs w:val="21"/>
                <w:highlight w:val="none"/>
                <w:u w:val="single"/>
              </w:rPr>
              <w:t xml:space="preserve">3  </w:t>
            </w:r>
            <w:r>
              <w:rPr>
                <w:rFonts w:hint="eastAsia" w:ascii="宋体" w:hAnsi="宋体" w:cs="宋体"/>
                <w:b w:val="0"/>
                <w:bCs/>
                <w:color w:val="auto"/>
                <w:szCs w:val="21"/>
                <w:highlight w:val="none"/>
              </w:rPr>
              <w:t>分</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该加分项一标段最高分可得16分，二标段、三标段的最高分可得12分</w:t>
            </w:r>
            <w:r>
              <w:rPr>
                <w:rFonts w:hint="eastAsia" w:ascii="宋体" w:hAnsi="宋体" w:cs="宋体"/>
                <w:b w:val="0"/>
                <w:bCs/>
                <w:color w:val="auto"/>
                <w:szCs w:val="21"/>
                <w:highlight w:val="none"/>
                <w:lang w:eastAsia="zh-CN"/>
              </w:rPr>
              <w:t>）。</w:t>
            </w:r>
          </w:p>
          <w:p w14:paraId="7F034168">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业绩证明材料按投标人须知前附表第1.4.1条第3款业绩要求的规定提供。</w:t>
            </w:r>
          </w:p>
        </w:tc>
      </w:tr>
      <w:tr w14:paraId="11864FB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7F034179">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0739039C">
            <w:pPr>
              <w:spacing w:line="400" w:lineRule="exact"/>
              <w:ind w:left="-63" w:leftChars="-30" w:right="-63" w:rightChars="-30"/>
              <w:jc w:val="center"/>
              <w:rPr>
                <w:rFonts w:ascii="宋体" w:hAnsi="宋体" w:cs="宋体"/>
                <w:b w:val="0"/>
                <w:bCs/>
                <w:color w:val="auto"/>
                <w:highlight w:val="none"/>
              </w:rPr>
            </w:pPr>
          </w:p>
        </w:tc>
        <w:tc>
          <w:tcPr>
            <w:tcW w:w="2171" w:type="dxa"/>
            <w:vAlign w:val="center"/>
          </w:tcPr>
          <w:p w14:paraId="2E0D3C1A">
            <w:pPr>
              <w:tabs>
                <w:tab w:val="left" w:pos="1875"/>
              </w:tabs>
              <w:spacing w:line="400" w:lineRule="exact"/>
              <w:jc w:val="both"/>
              <w:rPr>
                <w:rFonts w:hint="default" w:ascii="宋体" w:hAnsi="宋体" w:eastAsia="宋体" w:cs="宋体"/>
                <w:b w:val="0"/>
                <w:bCs/>
                <w:color w:val="auto"/>
                <w:highlight w:val="none"/>
                <w:lang w:val="en-US" w:eastAsia="zh-CN"/>
              </w:rPr>
            </w:pPr>
            <w:r>
              <w:rPr>
                <w:rFonts w:hint="default" w:ascii="宋体" w:hAnsi="宋体" w:eastAsia="宋体" w:cs="宋体"/>
                <w:b w:val="0"/>
                <w:bCs/>
                <w:color w:val="auto"/>
                <w:highlight w:val="none"/>
                <w:lang w:val="en-US" w:eastAsia="zh-CN"/>
              </w:rPr>
              <w:t>企业技术创新能力</w:t>
            </w:r>
          </w:p>
        </w:tc>
        <w:tc>
          <w:tcPr>
            <w:tcW w:w="4803" w:type="dxa"/>
            <w:vAlign w:val="center"/>
          </w:tcPr>
          <w:p w14:paraId="740F0645">
            <w:pPr>
              <w:snapToGrid w:val="0"/>
              <w:spacing w:line="400" w:lineRule="exact"/>
              <w:ind w:firstLine="420" w:firstLineChars="200"/>
              <w:rPr>
                <w:rFonts w:hint="eastAsia" w:ascii="宋体" w:hAnsi="宋体" w:cs="宋体"/>
                <w:b w:val="0"/>
                <w:bCs/>
                <w:color w:val="auto"/>
                <w:highlight w:val="none"/>
                <w:u w:val="single"/>
              </w:rPr>
            </w:pPr>
            <w:r>
              <w:rPr>
                <w:rFonts w:hint="eastAsia" w:ascii="宋体" w:hAnsi="宋体" w:cs="宋体"/>
                <w:b w:val="0"/>
                <w:bCs/>
                <w:color w:val="auto"/>
                <w:kern w:val="0"/>
                <w:szCs w:val="21"/>
                <w:highlight w:val="none"/>
              </w:rPr>
              <w:t>自</w:t>
            </w:r>
            <w:r>
              <w:rPr>
                <w:rFonts w:hint="eastAsia" w:ascii="宋体" w:hAnsi="宋体" w:cs="宋体"/>
                <w:b w:val="0"/>
                <w:bCs/>
                <w:color w:val="auto"/>
                <w:szCs w:val="21"/>
                <w:highlight w:val="none"/>
                <w:u w:val="single"/>
              </w:rPr>
              <w:t xml:space="preserve"> 2023 </w:t>
            </w:r>
            <w:r>
              <w:rPr>
                <w:rFonts w:hint="eastAsia" w:ascii="宋体" w:hAnsi="宋体" w:cs="宋体"/>
                <w:b w:val="0"/>
                <w:bCs/>
                <w:color w:val="auto"/>
                <w:szCs w:val="21"/>
                <w:highlight w:val="none"/>
              </w:rPr>
              <w:t>年1月1日起至投标截止日止（以合同签订时间为准），每增加1个</w:t>
            </w:r>
            <w:r>
              <w:rPr>
                <w:rFonts w:hint="eastAsia" w:ascii="宋体" w:hAnsi="宋体" w:cs="宋体"/>
                <w:b w:val="0"/>
                <w:bCs/>
                <w:color w:val="auto"/>
                <w:szCs w:val="21"/>
                <w:highlight w:val="none"/>
                <w:u w:val="single"/>
              </w:rPr>
              <w:t>所投标段招标文件对应的类似</w:t>
            </w:r>
            <w:r>
              <w:rPr>
                <w:rFonts w:hint="eastAsia" w:ascii="宋体" w:hAnsi="宋体" w:cs="宋体"/>
                <w:b w:val="0"/>
                <w:bCs/>
                <w:color w:val="auto"/>
                <w:szCs w:val="21"/>
                <w:highlight w:val="none"/>
              </w:rPr>
              <w:t>同等设备</w:t>
            </w:r>
            <w:r>
              <w:rPr>
                <w:rFonts w:hint="eastAsia" w:ascii="宋体" w:hAnsi="宋体" w:cs="宋体"/>
                <w:b w:val="0"/>
                <w:bCs/>
                <w:color w:val="auto"/>
                <w:szCs w:val="21"/>
                <w:highlight w:val="none"/>
                <w:lang w:val="en-US" w:eastAsia="zh-CN"/>
              </w:rPr>
              <w:t>授权</w:t>
            </w:r>
            <w:r>
              <w:rPr>
                <w:rFonts w:hint="eastAsia" w:ascii="宋体" w:hAnsi="宋体" w:cs="宋体"/>
                <w:b w:val="0"/>
                <w:bCs/>
                <w:color w:val="auto"/>
                <w:szCs w:val="21"/>
                <w:highlight w:val="none"/>
              </w:rPr>
              <w:t>专利得</w:t>
            </w:r>
            <w:r>
              <w:rPr>
                <w:rFonts w:hint="eastAsia" w:ascii="宋体" w:hAnsi="宋体" w:cs="宋体"/>
                <w:b w:val="0"/>
                <w:bCs/>
                <w:color w:val="auto"/>
                <w:szCs w:val="21"/>
                <w:highlight w:val="none"/>
                <w:u w:val="single"/>
              </w:rPr>
              <w:t xml:space="preserve"> 1 </w:t>
            </w:r>
            <w:r>
              <w:rPr>
                <w:rFonts w:hint="eastAsia" w:ascii="宋体" w:hAnsi="宋体" w:cs="宋体"/>
                <w:b w:val="0"/>
                <w:bCs/>
                <w:color w:val="auto"/>
                <w:szCs w:val="21"/>
                <w:highlight w:val="none"/>
              </w:rPr>
              <w:t>分</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本项最多得</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lang w:val="en-US" w:eastAsia="zh-CN"/>
              </w:rPr>
              <w:t>4</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分。</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该专利加分项二标段、三标段参与，一标段不参与评分</w:t>
            </w:r>
            <w:r>
              <w:rPr>
                <w:rFonts w:hint="eastAsia" w:ascii="宋体" w:hAnsi="宋体" w:cs="宋体"/>
                <w:b w:val="0"/>
                <w:bCs/>
                <w:color w:val="auto"/>
                <w:szCs w:val="21"/>
                <w:highlight w:val="none"/>
                <w:lang w:eastAsia="zh-CN"/>
              </w:rPr>
              <w:t>）</w:t>
            </w:r>
          </w:p>
        </w:tc>
      </w:tr>
      <w:tr w14:paraId="7F0341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3E91D11C">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7A">
            <w:pPr>
              <w:spacing w:line="400" w:lineRule="exact"/>
              <w:ind w:left="-63" w:leftChars="-30" w:right="-63" w:rightChars="-30"/>
              <w:jc w:val="center"/>
              <w:rPr>
                <w:rFonts w:ascii="宋体" w:hAnsi="宋体" w:cs="宋体"/>
                <w:b w:val="0"/>
                <w:bCs/>
                <w:color w:val="auto"/>
                <w:highlight w:val="none"/>
              </w:rPr>
            </w:pPr>
          </w:p>
        </w:tc>
        <w:tc>
          <w:tcPr>
            <w:tcW w:w="2171" w:type="dxa"/>
            <w:vAlign w:val="center"/>
          </w:tcPr>
          <w:p w14:paraId="7F03417B">
            <w:pPr>
              <w:tabs>
                <w:tab w:val="left" w:pos="1875"/>
              </w:tabs>
              <w:spacing w:line="400" w:lineRule="exact"/>
              <w:rPr>
                <w:rFonts w:hint="eastAsia" w:ascii="宋体" w:hAnsi="宋体" w:cs="宋体"/>
                <w:b w:val="0"/>
                <w:bCs/>
                <w:color w:val="auto"/>
                <w:highlight w:val="none"/>
              </w:rPr>
            </w:pPr>
            <w:r>
              <w:rPr>
                <w:rFonts w:hint="eastAsia" w:ascii="宋体" w:hAnsi="宋体" w:cs="宋体"/>
                <w:b w:val="0"/>
                <w:bCs/>
                <w:color w:val="auto"/>
                <w:highlight w:val="none"/>
              </w:rPr>
              <w:t>交货期</w:t>
            </w:r>
          </w:p>
        </w:tc>
        <w:tc>
          <w:tcPr>
            <w:tcW w:w="4803" w:type="dxa"/>
            <w:vAlign w:val="center"/>
          </w:tcPr>
          <w:p w14:paraId="7F03417C">
            <w:pPr>
              <w:snapToGrid w:val="0"/>
              <w:spacing w:line="400" w:lineRule="exact"/>
              <w:ind w:firstLine="420" w:firstLineChars="200"/>
              <w:rPr>
                <w:rFonts w:hint="eastAsia" w:ascii="宋体" w:hAnsi="宋体" w:cs="宋体"/>
                <w:b w:val="0"/>
                <w:bCs/>
                <w:color w:val="auto"/>
                <w:highlight w:val="none"/>
                <w:u w:val="single"/>
              </w:rPr>
            </w:pPr>
            <w:r>
              <w:rPr>
                <w:rFonts w:hint="eastAsia" w:ascii="宋体" w:hAnsi="宋体" w:cs="宋体"/>
                <w:b w:val="0"/>
                <w:bCs/>
                <w:color w:val="auto"/>
                <w:highlight w:val="none"/>
                <w:u w:val="single"/>
              </w:rPr>
              <w:t>交货期满足招标文件规定交货期的，得1分。在满足招标文件规定交货期的基础上，每提前</w:t>
            </w:r>
            <w:r>
              <w:rPr>
                <w:rFonts w:hint="eastAsia" w:ascii="宋体" w:hAnsi="宋体" w:cs="宋体"/>
                <w:b w:val="0"/>
                <w:bCs/>
                <w:color w:val="auto"/>
                <w:highlight w:val="none"/>
                <w:u w:val="single"/>
                <w:lang w:val="en-US" w:eastAsia="zh-CN"/>
              </w:rPr>
              <w:t>20</w:t>
            </w:r>
            <w:r>
              <w:rPr>
                <w:rFonts w:hint="eastAsia" w:ascii="宋体" w:hAnsi="宋体" w:cs="宋体"/>
                <w:b w:val="0"/>
                <w:bCs/>
                <w:color w:val="auto"/>
                <w:highlight w:val="none"/>
                <w:u w:val="single"/>
              </w:rPr>
              <w:t>日历天，得</w:t>
            </w:r>
            <w:r>
              <w:rPr>
                <w:rFonts w:hint="eastAsia" w:ascii="宋体" w:hAnsi="宋体" w:cs="宋体"/>
                <w:b w:val="0"/>
                <w:bCs/>
                <w:color w:val="auto"/>
                <w:highlight w:val="none"/>
                <w:u w:val="single"/>
                <w:lang w:val="en-US" w:eastAsia="zh-CN"/>
              </w:rPr>
              <w:t>4</w:t>
            </w:r>
            <w:r>
              <w:rPr>
                <w:rFonts w:hint="eastAsia" w:ascii="宋体" w:hAnsi="宋体" w:cs="宋体"/>
                <w:b w:val="0"/>
                <w:bCs/>
                <w:color w:val="auto"/>
                <w:highlight w:val="none"/>
                <w:u w:val="single"/>
              </w:rPr>
              <w:t>分，最多得</w:t>
            </w:r>
            <w:r>
              <w:rPr>
                <w:rFonts w:hint="eastAsia" w:ascii="宋体" w:hAnsi="宋体" w:cs="宋体"/>
                <w:b w:val="0"/>
                <w:bCs/>
                <w:color w:val="auto"/>
                <w:highlight w:val="none"/>
                <w:u w:val="single"/>
                <w:lang w:val="en-US" w:eastAsia="zh-CN"/>
              </w:rPr>
              <w:t>12</w:t>
            </w:r>
            <w:r>
              <w:rPr>
                <w:rFonts w:hint="eastAsia" w:ascii="宋体" w:hAnsi="宋体" w:cs="宋体"/>
                <w:b w:val="0"/>
                <w:bCs/>
                <w:color w:val="auto"/>
                <w:highlight w:val="none"/>
                <w:u w:val="single"/>
              </w:rPr>
              <w:t>分。</w:t>
            </w:r>
          </w:p>
          <w:p w14:paraId="7F03417E">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u w:val="single"/>
              </w:rPr>
              <w:t>提供：响应招标文件规定的交货期证明材料，或提出优于招标文件的交货期证明材料。</w:t>
            </w:r>
          </w:p>
        </w:tc>
      </w:tr>
      <w:tr w14:paraId="7F03418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7F034180">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81">
            <w:pPr>
              <w:spacing w:line="400" w:lineRule="exact"/>
              <w:ind w:left="-63" w:leftChars="-30" w:right="-63" w:rightChars="-30"/>
              <w:jc w:val="center"/>
              <w:rPr>
                <w:rFonts w:ascii="宋体" w:hAnsi="宋体" w:cs="宋体"/>
                <w:b w:val="0"/>
                <w:bCs/>
                <w:color w:val="auto"/>
                <w:highlight w:val="none"/>
              </w:rPr>
            </w:pPr>
          </w:p>
        </w:tc>
        <w:tc>
          <w:tcPr>
            <w:tcW w:w="2171" w:type="dxa"/>
            <w:vAlign w:val="center"/>
          </w:tcPr>
          <w:p w14:paraId="7F034182">
            <w:pPr>
              <w:tabs>
                <w:tab w:val="left" w:pos="1875"/>
              </w:tabs>
              <w:spacing w:line="400" w:lineRule="exact"/>
              <w:rPr>
                <w:rFonts w:hint="eastAsia" w:ascii="宋体" w:hAnsi="宋体" w:cs="宋体"/>
                <w:b w:val="0"/>
                <w:bCs/>
                <w:color w:val="auto"/>
                <w:highlight w:val="none"/>
              </w:rPr>
            </w:pPr>
            <w:r>
              <w:rPr>
                <w:rFonts w:hint="eastAsia" w:ascii="宋体" w:hAnsi="宋体" w:cs="宋体"/>
                <w:b w:val="0"/>
                <w:bCs/>
                <w:color w:val="auto"/>
                <w:kern w:val="0"/>
                <w:highlight w:val="none"/>
              </w:rPr>
              <w:t>质量保证期</w:t>
            </w:r>
          </w:p>
        </w:tc>
        <w:tc>
          <w:tcPr>
            <w:tcW w:w="4803" w:type="dxa"/>
            <w:vAlign w:val="center"/>
          </w:tcPr>
          <w:p w14:paraId="7F034183">
            <w:pPr>
              <w:snapToGrid w:val="0"/>
              <w:spacing w:line="400" w:lineRule="exact"/>
              <w:ind w:firstLine="420" w:firstLineChars="200"/>
              <w:rPr>
                <w:rFonts w:hint="eastAsia" w:ascii="宋体" w:hAnsi="宋体" w:cs="宋体"/>
                <w:b w:val="0"/>
                <w:bCs/>
                <w:color w:val="auto"/>
                <w:highlight w:val="none"/>
                <w:u w:val="single"/>
              </w:rPr>
            </w:pPr>
            <w:r>
              <w:rPr>
                <w:rFonts w:hint="eastAsia" w:ascii="宋体" w:hAnsi="宋体" w:cs="宋体"/>
                <w:b w:val="0"/>
                <w:bCs/>
                <w:color w:val="auto"/>
                <w:highlight w:val="none"/>
                <w:u w:val="single"/>
              </w:rPr>
              <w:t>质量保证期满足招标文件规定质量保证期的，得1分。在满足招标文件规定质量保证期的基础上，每延长 2 个月，得</w:t>
            </w:r>
            <w:r>
              <w:rPr>
                <w:rFonts w:hint="eastAsia" w:ascii="宋体" w:hAnsi="宋体" w:cs="宋体"/>
                <w:b w:val="0"/>
                <w:bCs/>
                <w:color w:val="auto"/>
                <w:highlight w:val="none"/>
                <w:u w:val="single"/>
                <w:lang w:val="en-US" w:eastAsia="zh-CN"/>
              </w:rPr>
              <w:t>2</w:t>
            </w:r>
            <w:r>
              <w:rPr>
                <w:rFonts w:hint="eastAsia" w:ascii="宋体" w:hAnsi="宋体" w:cs="宋体"/>
                <w:b w:val="0"/>
                <w:bCs/>
                <w:color w:val="auto"/>
                <w:highlight w:val="none"/>
                <w:u w:val="single"/>
              </w:rPr>
              <w:t>分，最多得</w:t>
            </w:r>
            <w:r>
              <w:rPr>
                <w:rFonts w:hint="eastAsia" w:ascii="宋体" w:hAnsi="宋体" w:cs="宋体"/>
                <w:b w:val="0"/>
                <w:bCs/>
                <w:color w:val="auto"/>
                <w:highlight w:val="none"/>
                <w:u w:val="single"/>
                <w:lang w:val="en-US" w:eastAsia="zh-CN"/>
              </w:rPr>
              <w:t>12</w:t>
            </w:r>
            <w:r>
              <w:rPr>
                <w:rFonts w:hint="eastAsia" w:ascii="宋体" w:hAnsi="宋体" w:cs="宋体"/>
                <w:b w:val="0"/>
                <w:bCs/>
                <w:color w:val="auto"/>
                <w:highlight w:val="none"/>
                <w:u w:val="single"/>
              </w:rPr>
              <w:t>分。</w:t>
            </w:r>
          </w:p>
          <w:p w14:paraId="7F034185">
            <w:pPr>
              <w:snapToGrid w:val="0"/>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u w:val="single"/>
              </w:rPr>
              <w:t>提供：响应招标文件规定的</w:t>
            </w:r>
            <w:r>
              <w:rPr>
                <w:rFonts w:hint="eastAsia" w:ascii="宋体" w:hAnsi="宋体" w:cs="宋体"/>
                <w:b w:val="0"/>
                <w:bCs/>
                <w:color w:val="auto"/>
                <w:kern w:val="0"/>
                <w:highlight w:val="none"/>
                <w:u w:val="single"/>
              </w:rPr>
              <w:t>质量保证期</w:t>
            </w:r>
            <w:r>
              <w:rPr>
                <w:rFonts w:hint="eastAsia" w:ascii="宋体" w:hAnsi="宋体" w:cs="宋体"/>
                <w:b w:val="0"/>
                <w:bCs/>
                <w:color w:val="auto"/>
                <w:highlight w:val="none"/>
                <w:u w:val="single"/>
              </w:rPr>
              <w:t>证明材料，或提出优于招标文件的</w:t>
            </w:r>
            <w:r>
              <w:rPr>
                <w:rFonts w:hint="eastAsia" w:ascii="宋体" w:hAnsi="宋体" w:cs="宋体"/>
                <w:b w:val="0"/>
                <w:bCs/>
                <w:color w:val="auto"/>
                <w:kern w:val="0"/>
                <w:highlight w:val="none"/>
                <w:u w:val="single"/>
              </w:rPr>
              <w:t>质量保证期</w:t>
            </w:r>
            <w:r>
              <w:rPr>
                <w:rFonts w:hint="eastAsia" w:ascii="宋体" w:hAnsi="宋体" w:cs="宋体"/>
                <w:b w:val="0"/>
                <w:bCs/>
                <w:color w:val="auto"/>
                <w:highlight w:val="none"/>
                <w:u w:val="single"/>
              </w:rPr>
              <w:t>证明材料。</w:t>
            </w:r>
          </w:p>
        </w:tc>
      </w:tr>
      <w:tr w14:paraId="7F03418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restart"/>
            <w:tcBorders>
              <w:right w:val="single" w:color="auto" w:sz="4" w:space="0"/>
            </w:tcBorders>
            <w:vAlign w:val="center"/>
          </w:tcPr>
          <w:p w14:paraId="7F034187">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2.2.2（3）</w:t>
            </w:r>
          </w:p>
        </w:tc>
        <w:tc>
          <w:tcPr>
            <w:tcW w:w="1680" w:type="dxa"/>
            <w:vMerge w:val="restart"/>
            <w:tcBorders>
              <w:left w:val="single" w:color="auto" w:sz="4" w:space="0"/>
            </w:tcBorders>
            <w:vAlign w:val="center"/>
          </w:tcPr>
          <w:p w14:paraId="7F034188">
            <w:pPr>
              <w:spacing w:line="400" w:lineRule="exact"/>
              <w:jc w:val="center"/>
              <w:rPr>
                <w:rFonts w:hint="eastAsia" w:ascii="宋体" w:hAnsi="宋体" w:cs="宋体"/>
                <w:b w:val="0"/>
                <w:bCs/>
                <w:color w:val="auto"/>
                <w:kern w:val="0"/>
                <w:highlight w:val="none"/>
              </w:rPr>
            </w:pPr>
            <w:r>
              <w:rPr>
                <w:rFonts w:hint="eastAsia" w:ascii="宋体" w:hAnsi="宋体" w:cs="宋体"/>
                <w:b w:val="0"/>
                <w:bCs/>
                <w:color w:val="auto"/>
                <w:kern w:val="0"/>
                <w:highlight w:val="none"/>
              </w:rPr>
              <w:t>投标函部分评审标准</w:t>
            </w:r>
          </w:p>
        </w:tc>
        <w:tc>
          <w:tcPr>
            <w:tcW w:w="2171" w:type="dxa"/>
            <w:vAlign w:val="center"/>
          </w:tcPr>
          <w:p w14:paraId="7F034189">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kern w:val="0"/>
                <w:highlight w:val="none"/>
              </w:rPr>
              <w:t>投标函部分的签署</w:t>
            </w:r>
          </w:p>
        </w:tc>
        <w:tc>
          <w:tcPr>
            <w:tcW w:w="4803" w:type="dxa"/>
            <w:vAlign w:val="center"/>
          </w:tcPr>
          <w:p w14:paraId="7F03418A">
            <w:pPr>
              <w:snapToGrid w:val="0"/>
              <w:spacing w:line="400" w:lineRule="exact"/>
              <w:ind w:firstLine="420" w:firstLineChars="200"/>
              <w:rPr>
                <w:rFonts w:hint="eastAsia" w:ascii="宋体" w:hAnsi="宋体" w:cs="宋体"/>
                <w:b w:val="0"/>
                <w:bCs/>
                <w:color w:val="auto"/>
                <w:highlight w:val="none"/>
                <w:u w:val="single"/>
              </w:rPr>
            </w:pPr>
            <w:r>
              <w:rPr>
                <w:rFonts w:hint="eastAsia" w:ascii="宋体" w:hAnsi="宋体" w:cs="宋体"/>
                <w:b w:val="0"/>
                <w:bCs/>
                <w:color w:val="auto"/>
                <w:kern w:val="0"/>
                <w:highlight w:val="none"/>
              </w:rPr>
              <w:t>投标函格式规定签名、盖章的位置有法定代表人或其委托代理人签名（或盖章）、加盖单位法人章。</w:t>
            </w:r>
          </w:p>
        </w:tc>
      </w:tr>
      <w:tr w14:paraId="7F03419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continue"/>
            <w:tcBorders>
              <w:right w:val="single" w:color="auto" w:sz="4" w:space="0"/>
            </w:tcBorders>
            <w:vAlign w:val="center"/>
          </w:tcPr>
          <w:p w14:paraId="7F03418C">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8D">
            <w:pPr>
              <w:spacing w:line="400" w:lineRule="exact"/>
              <w:jc w:val="center"/>
              <w:rPr>
                <w:rFonts w:hint="eastAsia" w:ascii="宋体" w:hAnsi="宋体" w:cs="宋体"/>
                <w:b w:val="0"/>
                <w:bCs/>
                <w:color w:val="auto"/>
                <w:kern w:val="0"/>
                <w:highlight w:val="none"/>
              </w:rPr>
            </w:pPr>
          </w:p>
        </w:tc>
        <w:tc>
          <w:tcPr>
            <w:tcW w:w="2171" w:type="dxa"/>
            <w:vAlign w:val="center"/>
          </w:tcPr>
          <w:p w14:paraId="7F03418E">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kern w:val="0"/>
                <w:highlight w:val="none"/>
              </w:rPr>
              <w:t>投标货物品牌</w:t>
            </w:r>
          </w:p>
        </w:tc>
        <w:tc>
          <w:tcPr>
            <w:tcW w:w="4803" w:type="dxa"/>
            <w:vAlign w:val="center"/>
          </w:tcPr>
          <w:p w14:paraId="7F03418F">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投标人分项报价表中的投标货物品牌必须与投标业绩中的货物品牌一致。</w:t>
            </w:r>
          </w:p>
        </w:tc>
      </w:tr>
      <w:tr w14:paraId="7F0341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continue"/>
            <w:tcBorders>
              <w:right w:val="single" w:color="auto" w:sz="4" w:space="0"/>
            </w:tcBorders>
            <w:vAlign w:val="center"/>
          </w:tcPr>
          <w:p w14:paraId="7F034191">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92">
            <w:pPr>
              <w:spacing w:line="400" w:lineRule="exact"/>
              <w:jc w:val="center"/>
              <w:rPr>
                <w:rFonts w:hint="eastAsia" w:ascii="宋体" w:hAnsi="宋体" w:cs="宋体"/>
                <w:b w:val="0"/>
                <w:bCs/>
                <w:color w:val="auto"/>
                <w:kern w:val="0"/>
                <w:highlight w:val="none"/>
              </w:rPr>
            </w:pPr>
          </w:p>
        </w:tc>
        <w:tc>
          <w:tcPr>
            <w:tcW w:w="2171" w:type="dxa"/>
            <w:vAlign w:val="center"/>
          </w:tcPr>
          <w:p w14:paraId="7F034193">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kern w:val="0"/>
                <w:highlight w:val="none"/>
              </w:rPr>
              <w:t>交货期</w:t>
            </w:r>
          </w:p>
        </w:tc>
        <w:tc>
          <w:tcPr>
            <w:tcW w:w="4803" w:type="dxa"/>
            <w:vAlign w:val="center"/>
          </w:tcPr>
          <w:p w14:paraId="7F034194">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符合第二章“投标人须知”第1.3.2项规定。</w:t>
            </w:r>
          </w:p>
        </w:tc>
      </w:tr>
      <w:tr w14:paraId="7F0341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continue"/>
            <w:tcBorders>
              <w:right w:val="single" w:color="auto" w:sz="4" w:space="0"/>
            </w:tcBorders>
            <w:vAlign w:val="center"/>
          </w:tcPr>
          <w:p w14:paraId="7F034196">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97">
            <w:pPr>
              <w:spacing w:line="400" w:lineRule="exact"/>
              <w:jc w:val="center"/>
              <w:rPr>
                <w:rFonts w:hint="eastAsia" w:ascii="宋体" w:hAnsi="宋体" w:cs="宋体"/>
                <w:b w:val="0"/>
                <w:bCs/>
                <w:color w:val="auto"/>
                <w:kern w:val="0"/>
                <w:highlight w:val="none"/>
              </w:rPr>
            </w:pPr>
          </w:p>
        </w:tc>
        <w:tc>
          <w:tcPr>
            <w:tcW w:w="2171" w:type="dxa"/>
            <w:vAlign w:val="center"/>
          </w:tcPr>
          <w:p w14:paraId="7F034198">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kern w:val="0"/>
                <w:highlight w:val="none"/>
              </w:rPr>
              <w:t>交货地点</w:t>
            </w:r>
          </w:p>
        </w:tc>
        <w:tc>
          <w:tcPr>
            <w:tcW w:w="4803" w:type="dxa"/>
            <w:vAlign w:val="center"/>
          </w:tcPr>
          <w:p w14:paraId="7F034199">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符合第二章“投标人须知”第1.3.3项规定。</w:t>
            </w:r>
          </w:p>
        </w:tc>
      </w:tr>
      <w:tr w14:paraId="7F03419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934" w:type="dxa"/>
            <w:vMerge w:val="continue"/>
            <w:tcBorders>
              <w:right w:val="single" w:color="auto" w:sz="4" w:space="0"/>
            </w:tcBorders>
            <w:vAlign w:val="center"/>
          </w:tcPr>
          <w:p w14:paraId="7F03419B">
            <w:pPr>
              <w:spacing w:line="400" w:lineRule="exact"/>
              <w:jc w:val="center"/>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9C">
            <w:pPr>
              <w:spacing w:line="400" w:lineRule="exact"/>
              <w:jc w:val="center"/>
              <w:rPr>
                <w:rFonts w:hint="eastAsia" w:ascii="宋体" w:hAnsi="宋体" w:cs="宋体"/>
                <w:b w:val="0"/>
                <w:bCs/>
                <w:color w:val="auto"/>
                <w:kern w:val="0"/>
                <w:highlight w:val="none"/>
              </w:rPr>
            </w:pPr>
          </w:p>
        </w:tc>
        <w:tc>
          <w:tcPr>
            <w:tcW w:w="2171" w:type="dxa"/>
            <w:vAlign w:val="center"/>
          </w:tcPr>
          <w:p w14:paraId="7F03419D">
            <w:pPr>
              <w:tabs>
                <w:tab w:val="left" w:pos="1875"/>
              </w:tabs>
              <w:spacing w:line="400" w:lineRule="exact"/>
              <w:rPr>
                <w:rFonts w:hint="eastAsia" w:ascii="宋体" w:hAnsi="宋体" w:cs="宋体"/>
                <w:b w:val="0"/>
                <w:bCs/>
                <w:color w:val="auto"/>
                <w:kern w:val="0"/>
                <w:highlight w:val="none"/>
              </w:rPr>
            </w:pPr>
            <w:r>
              <w:rPr>
                <w:rFonts w:hint="eastAsia" w:ascii="宋体" w:hAnsi="宋体" w:cs="宋体"/>
                <w:b w:val="0"/>
                <w:bCs/>
                <w:color w:val="auto"/>
                <w:kern w:val="0"/>
                <w:highlight w:val="none"/>
              </w:rPr>
              <w:t>投标有效期</w:t>
            </w:r>
          </w:p>
        </w:tc>
        <w:tc>
          <w:tcPr>
            <w:tcW w:w="4803" w:type="dxa"/>
            <w:vAlign w:val="center"/>
          </w:tcPr>
          <w:p w14:paraId="7F03419E">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符合第二章“投标人须知”第3.3.1项规定。</w:t>
            </w:r>
          </w:p>
        </w:tc>
      </w:tr>
      <w:tr w14:paraId="7F0341A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7F0341A0">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A1">
            <w:pPr>
              <w:spacing w:line="400" w:lineRule="exact"/>
              <w:ind w:firstLine="210" w:firstLineChars="100"/>
              <w:jc w:val="center"/>
              <w:rPr>
                <w:rFonts w:hint="eastAsia" w:ascii="宋体" w:hAnsi="宋体" w:cs="宋体"/>
                <w:b w:val="0"/>
                <w:bCs/>
                <w:color w:val="auto"/>
                <w:kern w:val="0"/>
                <w:highlight w:val="none"/>
              </w:rPr>
            </w:pPr>
          </w:p>
        </w:tc>
        <w:tc>
          <w:tcPr>
            <w:tcW w:w="2171" w:type="dxa"/>
            <w:vAlign w:val="center"/>
          </w:tcPr>
          <w:p w14:paraId="7F0341A2">
            <w:pPr>
              <w:spacing w:line="400" w:lineRule="exact"/>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投标报价</w:t>
            </w:r>
          </w:p>
        </w:tc>
        <w:tc>
          <w:tcPr>
            <w:tcW w:w="4803" w:type="dxa"/>
            <w:vAlign w:val="center"/>
          </w:tcPr>
          <w:p w14:paraId="7F0341A3">
            <w:pPr>
              <w:spacing w:line="400" w:lineRule="exact"/>
              <w:ind w:firstLine="420" w:firstLineChars="200"/>
              <w:jc w:val="left"/>
              <w:rPr>
                <w:rFonts w:ascii="宋体" w:hAnsi="宋体" w:cs="宋体"/>
                <w:b w:val="0"/>
                <w:bCs/>
                <w:color w:val="auto"/>
                <w:highlight w:val="none"/>
              </w:rPr>
            </w:pPr>
            <w:r>
              <w:rPr>
                <w:rFonts w:hint="eastAsia" w:ascii="宋体" w:hAnsi="宋体" w:cs="宋体"/>
                <w:b w:val="0"/>
                <w:bCs/>
                <w:color w:val="auto"/>
                <w:highlight w:val="none"/>
              </w:rPr>
              <w:t>1.</w:t>
            </w:r>
            <w:r>
              <w:rPr>
                <w:rFonts w:hint="eastAsia" w:ascii="宋体" w:hAnsi="宋体" w:cs="宋体"/>
                <w:b w:val="0"/>
                <w:bCs/>
                <w:color w:val="auto"/>
                <w:szCs w:val="21"/>
                <w:highlight w:val="none"/>
              </w:rPr>
              <w:t>投标函及分项报价表中的投标报价不得高于招标人公布的投标报价最高限价。投标函中的投标总报价必须与已报价的分项报价表中的投标总报价一致</w:t>
            </w:r>
            <w:r>
              <w:rPr>
                <w:rFonts w:hint="eastAsia" w:ascii="宋体" w:hAnsi="宋体" w:cs="宋体"/>
                <w:b w:val="0"/>
                <w:bCs/>
                <w:color w:val="auto"/>
                <w:highlight w:val="none"/>
              </w:rPr>
              <w:t>。</w:t>
            </w:r>
          </w:p>
          <w:p w14:paraId="7F0341A4">
            <w:pPr>
              <w:spacing w:line="400" w:lineRule="exact"/>
              <w:ind w:firstLine="420" w:firstLineChars="200"/>
              <w:jc w:val="left"/>
              <w:rPr>
                <w:rFonts w:ascii="宋体" w:hAnsi="宋体" w:cs="宋体"/>
                <w:b w:val="0"/>
                <w:bCs/>
                <w:color w:val="auto"/>
                <w:highlight w:val="none"/>
              </w:rPr>
            </w:pPr>
            <w:r>
              <w:rPr>
                <w:rFonts w:hint="eastAsia" w:ascii="宋体" w:hAnsi="宋体" w:cs="宋体"/>
                <w:b w:val="0"/>
                <w:bCs/>
                <w:color w:val="auto"/>
                <w:highlight w:val="none"/>
              </w:rPr>
              <w:t>2.投标人分项报价表中各分项合价必须与依据单价和数量计算出的结果一致，投标总报价必须与各分项合价汇总计算出的结果一致。</w:t>
            </w:r>
          </w:p>
          <w:p w14:paraId="7F0341A5">
            <w:pPr>
              <w:snapToGrid w:val="0"/>
              <w:spacing w:line="400" w:lineRule="exact"/>
              <w:ind w:firstLine="420" w:firstLineChars="200"/>
              <w:rPr>
                <w:rFonts w:hint="eastAsia" w:ascii="宋体" w:hAnsi="宋体" w:cs="宋体"/>
                <w:b w:val="0"/>
                <w:bCs/>
                <w:color w:val="auto"/>
                <w:kern w:val="0"/>
                <w:highlight w:val="none"/>
              </w:rPr>
            </w:pPr>
            <w:r>
              <w:rPr>
                <w:rFonts w:hint="eastAsia" w:ascii="宋体" w:hAnsi="宋体" w:cs="宋体"/>
                <w:b w:val="0"/>
                <w:bCs/>
                <w:color w:val="auto"/>
                <w:kern w:val="0"/>
                <w:highlight w:val="none"/>
              </w:rPr>
              <w:t>3.投标人投标总报价低于招标文件规定的对应的异常低价警戒线的，应提供报价合理性说明，并提供必要的证明材料</w:t>
            </w:r>
            <w:r>
              <w:rPr>
                <w:rFonts w:hint="eastAsia" w:ascii="宋体" w:hAnsi="宋体" w:cs="宋体"/>
                <w:b w:val="0"/>
                <w:bCs/>
                <w:color w:val="auto"/>
                <w:kern w:val="0"/>
                <w:szCs w:val="21"/>
                <w:highlight w:val="none"/>
              </w:rPr>
              <w:t>，以说明其报价的合理性</w:t>
            </w:r>
            <w:r>
              <w:rPr>
                <w:rFonts w:hint="eastAsia" w:ascii="宋体" w:hAnsi="宋体" w:cs="宋体"/>
                <w:b w:val="0"/>
                <w:bCs/>
                <w:color w:val="auto"/>
                <w:szCs w:val="21"/>
                <w:highlight w:val="none"/>
              </w:rPr>
              <w:t>（如有）</w:t>
            </w:r>
            <w:r>
              <w:rPr>
                <w:rFonts w:hint="eastAsia" w:ascii="宋体" w:hAnsi="宋体" w:cs="宋体"/>
                <w:b w:val="0"/>
                <w:bCs/>
                <w:color w:val="auto"/>
                <w:kern w:val="0"/>
                <w:highlight w:val="none"/>
              </w:rPr>
              <w:t>。</w:t>
            </w:r>
          </w:p>
          <w:p w14:paraId="7F0341A6">
            <w:pPr>
              <w:snapToGrid w:val="0"/>
              <w:spacing w:line="400" w:lineRule="exact"/>
              <w:ind w:firstLine="420" w:firstLineChars="200"/>
              <w:rPr>
                <w:rFonts w:ascii="宋体" w:hAnsi="宋体" w:cs="宋体"/>
                <w:b w:val="0"/>
                <w:bCs/>
                <w:color w:val="auto"/>
                <w:highlight w:val="none"/>
              </w:rPr>
            </w:pPr>
            <w:r>
              <w:rPr>
                <w:rFonts w:hint="eastAsia" w:ascii="宋体" w:hAnsi="宋体" w:cs="宋体"/>
                <w:b w:val="0"/>
                <w:bCs/>
                <w:color w:val="auto"/>
                <w:kern w:val="0"/>
                <w:highlight w:val="none"/>
              </w:rPr>
              <w:t>4.</w:t>
            </w:r>
            <w:r>
              <w:rPr>
                <w:rFonts w:hint="eastAsia" w:ascii="宋体" w:hAnsi="宋体" w:cs="宋体"/>
                <w:b w:val="0"/>
                <w:bCs/>
                <w:color w:val="auto"/>
                <w:kern w:val="0"/>
                <w:szCs w:val="21"/>
                <w:highlight w:val="none"/>
              </w:rPr>
              <w:t>投标人的单项报价（招标人提供的单项报价最高限价中金额为零的除外）不得为零报价或者负数报价（如有）。</w:t>
            </w:r>
          </w:p>
        </w:tc>
      </w:tr>
      <w:tr w14:paraId="7F0341A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934" w:type="dxa"/>
            <w:vMerge w:val="continue"/>
            <w:tcBorders>
              <w:right w:val="single" w:color="auto" w:sz="4" w:space="0"/>
            </w:tcBorders>
            <w:vAlign w:val="center"/>
          </w:tcPr>
          <w:p w14:paraId="7F0341A8">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A9">
            <w:pPr>
              <w:spacing w:line="400" w:lineRule="exact"/>
              <w:ind w:firstLine="210" w:firstLineChars="100"/>
              <w:jc w:val="center"/>
              <w:rPr>
                <w:rFonts w:hint="eastAsia" w:ascii="宋体" w:hAnsi="宋体" w:cs="宋体"/>
                <w:b w:val="0"/>
                <w:bCs/>
                <w:color w:val="auto"/>
                <w:kern w:val="0"/>
                <w:highlight w:val="none"/>
              </w:rPr>
            </w:pPr>
          </w:p>
        </w:tc>
        <w:tc>
          <w:tcPr>
            <w:tcW w:w="2171" w:type="dxa"/>
            <w:vAlign w:val="center"/>
          </w:tcPr>
          <w:p w14:paraId="7F0341AA">
            <w:pPr>
              <w:snapToGrid w:val="0"/>
              <w:spacing w:line="400" w:lineRule="exact"/>
              <w:jc w:val="left"/>
              <w:rPr>
                <w:rFonts w:hint="eastAsia" w:ascii="宋体" w:hAnsi="宋体" w:cs="宋体"/>
                <w:b w:val="0"/>
                <w:bCs/>
                <w:color w:val="auto"/>
                <w:kern w:val="0"/>
                <w:szCs w:val="21"/>
                <w:highlight w:val="none"/>
                <w:lang w:bidi="ar"/>
              </w:rPr>
            </w:pPr>
            <w:r>
              <w:rPr>
                <w:rFonts w:hint="eastAsia" w:ascii="宋体" w:hAnsi="宋体" w:cs="宋体"/>
                <w:b w:val="0"/>
                <w:bCs/>
                <w:color w:val="auto"/>
                <w:kern w:val="0"/>
                <w:szCs w:val="21"/>
                <w:highlight w:val="none"/>
                <w:lang w:bidi="ar"/>
              </w:rPr>
              <w:t>报价唯一</w:t>
            </w:r>
          </w:p>
        </w:tc>
        <w:tc>
          <w:tcPr>
            <w:tcW w:w="4803" w:type="dxa"/>
            <w:vAlign w:val="center"/>
          </w:tcPr>
          <w:p w14:paraId="7F0341AB">
            <w:pPr>
              <w:snapToGrid w:val="0"/>
              <w:spacing w:line="400" w:lineRule="exact"/>
              <w:ind w:firstLine="420" w:firstLineChars="200"/>
              <w:jc w:val="left"/>
              <w:rPr>
                <w:rFonts w:hint="eastAsia" w:ascii="宋体" w:hAnsi="宋体" w:cs="宋体"/>
                <w:b w:val="0"/>
                <w:bCs/>
                <w:color w:val="auto"/>
                <w:highlight w:val="none"/>
              </w:rPr>
            </w:pPr>
            <w:r>
              <w:rPr>
                <w:rFonts w:hint="eastAsia" w:ascii="宋体" w:hAnsi="宋体" w:cs="宋体"/>
                <w:b w:val="0"/>
                <w:bCs/>
                <w:color w:val="auto"/>
                <w:highlight w:val="none"/>
              </w:rPr>
              <w:t>只能有一个有效报价，在招标文件没有规定的情况下，不得提交选择性报价。</w:t>
            </w:r>
          </w:p>
        </w:tc>
      </w:tr>
      <w:tr w14:paraId="7F0341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934" w:type="dxa"/>
            <w:vMerge w:val="continue"/>
            <w:tcBorders>
              <w:right w:val="single" w:color="auto" w:sz="4" w:space="0"/>
            </w:tcBorders>
            <w:vAlign w:val="center"/>
          </w:tcPr>
          <w:p w14:paraId="7F0341AD">
            <w:pPr>
              <w:spacing w:line="400" w:lineRule="exact"/>
              <w:rPr>
                <w:rFonts w:hint="eastAsia" w:ascii="宋体" w:hAnsi="宋体" w:cs="宋体"/>
                <w:b w:val="0"/>
                <w:bCs/>
                <w:color w:val="auto"/>
                <w:kern w:val="0"/>
                <w:highlight w:val="none"/>
              </w:rPr>
            </w:pPr>
          </w:p>
        </w:tc>
        <w:tc>
          <w:tcPr>
            <w:tcW w:w="1680" w:type="dxa"/>
            <w:vMerge w:val="continue"/>
            <w:tcBorders>
              <w:left w:val="single" w:color="auto" w:sz="4" w:space="0"/>
            </w:tcBorders>
            <w:vAlign w:val="center"/>
          </w:tcPr>
          <w:p w14:paraId="7F0341AE">
            <w:pPr>
              <w:spacing w:line="400" w:lineRule="exact"/>
              <w:ind w:firstLine="210" w:firstLineChars="100"/>
              <w:jc w:val="center"/>
              <w:rPr>
                <w:rFonts w:hint="eastAsia" w:ascii="宋体" w:hAnsi="宋体" w:cs="宋体"/>
                <w:b w:val="0"/>
                <w:bCs/>
                <w:color w:val="auto"/>
                <w:kern w:val="0"/>
                <w:highlight w:val="none"/>
              </w:rPr>
            </w:pPr>
          </w:p>
        </w:tc>
        <w:tc>
          <w:tcPr>
            <w:tcW w:w="2171" w:type="dxa"/>
            <w:vAlign w:val="center"/>
          </w:tcPr>
          <w:p w14:paraId="7F0341AF">
            <w:pPr>
              <w:snapToGrid w:val="0"/>
              <w:spacing w:line="400" w:lineRule="exact"/>
              <w:jc w:val="left"/>
              <w:rPr>
                <w:rFonts w:hint="eastAsia" w:ascii="宋体" w:hAnsi="宋体" w:cs="宋体"/>
                <w:b w:val="0"/>
                <w:bCs/>
                <w:color w:val="auto"/>
                <w:kern w:val="0"/>
                <w:szCs w:val="21"/>
                <w:highlight w:val="none"/>
                <w:lang w:bidi="ar"/>
              </w:rPr>
            </w:pPr>
            <w:r>
              <w:rPr>
                <w:rFonts w:hint="eastAsia" w:ascii="宋体" w:hAnsi="宋体" w:cs="宋体"/>
                <w:b w:val="0"/>
                <w:bCs/>
                <w:color w:val="auto"/>
                <w:kern w:val="0"/>
                <w:highlight w:val="none"/>
              </w:rPr>
              <w:t>投标报价大小写不一致修正</w:t>
            </w:r>
          </w:p>
        </w:tc>
        <w:tc>
          <w:tcPr>
            <w:tcW w:w="4803" w:type="dxa"/>
            <w:vAlign w:val="center"/>
          </w:tcPr>
          <w:p w14:paraId="7F0341B0">
            <w:pPr>
              <w:snapToGrid w:val="0"/>
              <w:spacing w:line="400" w:lineRule="exact"/>
              <w:ind w:firstLine="420" w:firstLineChars="200"/>
              <w:jc w:val="left"/>
              <w:rPr>
                <w:rFonts w:hint="eastAsia" w:ascii="宋体" w:hAnsi="宋体" w:cs="宋体"/>
                <w:b w:val="0"/>
                <w:bCs/>
                <w:color w:val="auto"/>
                <w:highlight w:val="none"/>
                <w:u w:val="single"/>
              </w:rPr>
            </w:pPr>
            <w:r>
              <w:rPr>
                <w:rFonts w:hint="eastAsia" w:ascii="宋体" w:hAnsi="宋体" w:cs="宋体"/>
                <w:b w:val="0"/>
                <w:bCs/>
                <w:color w:val="auto"/>
                <w:kern w:val="0"/>
                <w:highlight w:val="none"/>
              </w:rPr>
              <w:t>符合第三章“评标办法”第3.1.2项规定。</w:t>
            </w:r>
          </w:p>
        </w:tc>
      </w:tr>
      <w:tr w14:paraId="7F0341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B2">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2.2.2（4）</w:t>
            </w:r>
          </w:p>
        </w:tc>
        <w:tc>
          <w:tcPr>
            <w:tcW w:w="1680" w:type="dxa"/>
            <w:vAlign w:val="center"/>
          </w:tcPr>
          <w:p w14:paraId="7F0341B3">
            <w:pPr>
              <w:spacing w:line="400" w:lineRule="exact"/>
              <w:jc w:val="center"/>
              <w:rPr>
                <w:rFonts w:ascii="宋体" w:hAnsi="宋体" w:cs="宋体"/>
                <w:b w:val="0"/>
                <w:bCs/>
                <w:color w:val="auto"/>
                <w:highlight w:val="none"/>
              </w:rPr>
            </w:pPr>
            <w:r>
              <w:rPr>
                <w:rFonts w:hint="eastAsia" w:ascii="宋体" w:hAnsi="宋体" w:cs="宋体"/>
                <w:b w:val="0"/>
                <w:bCs/>
                <w:color w:val="auto"/>
                <w:highlight w:val="none"/>
              </w:rPr>
              <w:t>报价评审标准（C）</w:t>
            </w:r>
          </w:p>
        </w:tc>
        <w:tc>
          <w:tcPr>
            <w:tcW w:w="2171" w:type="dxa"/>
            <w:tcBorders>
              <w:top w:val="single" w:color="auto" w:sz="4" w:space="0"/>
              <w:bottom w:val="single" w:color="auto" w:sz="4" w:space="0"/>
            </w:tcBorders>
            <w:vAlign w:val="center"/>
          </w:tcPr>
          <w:p w14:paraId="7F0341B4">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投标总报价</w:t>
            </w:r>
          </w:p>
        </w:tc>
        <w:tc>
          <w:tcPr>
            <w:tcW w:w="4803" w:type="dxa"/>
            <w:vAlign w:val="center"/>
          </w:tcPr>
          <w:p w14:paraId="7F0341B5">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kern w:val="0"/>
                <w:highlight w:val="none"/>
              </w:rPr>
              <w:t>进入报价评审的</w:t>
            </w:r>
            <w:r>
              <w:rPr>
                <w:rFonts w:hint="eastAsia" w:ascii="宋体" w:hAnsi="宋体" w:cs="宋体"/>
                <w:b w:val="0"/>
                <w:bCs/>
                <w:color w:val="auto"/>
                <w:highlight w:val="none"/>
              </w:rPr>
              <w:t>投标人的投标总报价得本附表第2.2.1项规定分值的满分</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lang w:val="en-US" w:eastAsia="zh-CN"/>
              </w:rPr>
              <w:t>2</w:t>
            </w:r>
            <w:r>
              <w:rPr>
                <w:rFonts w:ascii="宋体" w:hAnsi="宋体" w:cs="宋体"/>
                <w:b w:val="0"/>
                <w:bCs/>
                <w:color w:val="auto"/>
                <w:highlight w:val="none"/>
                <w:u w:val="single"/>
              </w:rPr>
              <w:t>0</w:t>
            </w:r>
            <w:r>
              <w:rPr>
                <w:rFonts w:hint="eastAsia" w:ascii="宋体" w:hAnsi="宋体" w:cs="宋体"/>
                <w:b w:val="0"/>
                <w:bCs/>
                <w:color w:val="auto"/>
                <w:highlight w:val="none"/>
              </w:rPr>
              <w:t>分。在此基础上，投标总报价与评标基准价相比，每增加1%扣</w:t>
            </w:r>
            <w:r>
              <w:rPr>
                <w:rFonts w:ascii="宋体" w:hAnsi="宋体" w:cs="宋体"/>
                <w:b w:val="0"/>
                <w:bCs/>
                <w:color w:val="auto"/>
                <w:highlight w:val="none"/>
                <w:u w:val="single"/>
              </w:rPr>
              <w:t>0.</w:t>
            </w:r>
            <w:r>
              <w:rPr>
                <w:rFonts w:hint="eastAsia" w:ascii="宋体" w:hAnsi="宋体" w:cs="宋体"/>
                <w:b w:val="0"/>
                <w:bCs/>
                <w:color w:val="auto"/>
                <w:highlight w:val="none"/>
                <w:u w:val="single"/>
                <w:lang w:val="en-US" w:eastAsia="zh-CN"/>
              </w:rPr>
              <w:t>2</w:t>
            </w:r>
            <w:r>
              <w:rPr>
                <w:rFonts w:hint="eastAsia" w:ascii="宋体" w:hAnsi="宋体" w:cs="宋体"/>
                <w:b w:val="0"/>
                <w:bCs/>
                <w:color w:val="auto"/>
                <w:highlight w:val="none"/>
              </w:rPr>
              <w:t>分，每减少1%扣</w:t>
            </w:r>
            <w:r>
              <w:rPr>
                <w:rFonts w:ascii="宋体" w:hAnsi="宋体" w:cs="宋体"/>
                <w:b w:val="0"/>
                <w:bCs/>
                <w:color w:val="auto"/>
                <w:highlight w:val="none"/>
                <w:u w:val="single"/>
              </w:rPr>
              <w:t>0.</w:t>
            </w:r>
            <w:r>
              <w:rPr>
                <w:rFonts w:hint="eastAsia" w:ascii="宋体" w:hAnsi="宋体" w:cs="宋体"/>
                <w:b w:val="0"/>
                <w:bCs/>
                <w:color w:val="auto"/>
                <w:highlight w:val="none"/>
                <w:u w:val="single"/>
                <w:lang w:val="en-US" w:eastAsia="zh-CN"/>
              </w:rPr>
              <w:t>1</w:t>
            </w:r>
            <w:r>
              <w:rPr>
                <w:rFonts w:hint="eastAsia" w:ascii="宋体" w:hAnsi="宋体" w:cs="宋体"/>
                <w:b w:val="0"/>
                <w:bCs/>
                <w:color w:val="auto"/>
                <w:highlight w:val="none"/>
              </w:rPr>
              <w:t>分</w:t>
            </w:r>
            <w:r>
              <w:rPr>
                <w:rFonts w:hint="eastAsia" w:ascii="宋体" w:hAnsi="宋体" w:cs="宋体"/>
                <w:b w:val="0"/>
                <w:bCs/>
                <w:color w:val="auto"/>
                <w:szCs w:val="21"/>
                <w:highlight w:val="none"/>
              </w:rPr>
              <w:t>，扣完为止</w:t>
            </w:r>
            <w:r>
              <w:rPr>
                <w:rFonts w:hint="eastAsia" w:ascii="宋体" w:hAnsi="宋体" w:cs="宋体"/>
                <w:b w:val="0"/>
                <w:bCs/>
                <w:color w:val="auto"/>
                <w:highlight w:val="none"/>
              </w:rPr>
              <w:t>。</w:t>
            </w:r>
          </w:p>
          <w:p w14:paraId="7F0341B6">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按插入法计算得分。</w:t>
            </w:r>
          </w:p>
          <w:p w14:paraId="7F0341B7">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未参与评标基准价计算的投标总报价，仍应参加计算相应分值。</w:t>
            </w:r>
          </w:p>
          <w:p w14:paraId="7F0341B8">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highlight w:val="none"/>
              </w:rPr>
              <w:t>投标总报价得分最终结果保留两位小数，小数点后第三位四舍五入。</w:t>
            </w:r>
          </w:p>
        </w:tc>
      </w:tr>
      <w:tr w14:paraId="7F0341C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BA">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2.2.3</w:t>
            </w:r>
          </w:p>
        </w:tc>
        <w:tc>
          <w:tcPr>
            <w:tcW w:w="1680" w:type="dxa"/>
            <w:vAlign w:val="center"/>
          </w:tcPr>
          <w:p w14:paraId="7F0341BB">
            <w:pPr>
              <w:spacing w:line="400" w:lineRule="exact"/>
              <w:rPr>
                <w:rFonts w:ascii="宋体" w:hAnsi="宋体" w:cs="宋体"/>
                <w:b w:val="0"/>
                <w:bCs/>
                <w:color w:val="auto"/>
                <w:highlight w:val="none"/>
              </w:rPr>
            </w:pPr>
            <w:r>
              <w:rPr>
                <w:rFonts w:hint="eastAsia" w:ascii="宋体" w:hAnsi="宋体" w:cs="宋体"/>
                <w:b w:val="0"/>
                <w:bCs/>
                <w:color w:val="auto"/>
                <w:kern w:val="0"/>
                <w:highlight w:val="none"/>
              </w:rPr>
              <w:t>评标基准价计算方法</w:t>
            </w:r>
          </w:p>
          <w:p w14:paraId="7F0341BC">
            <w:pPr>
              <w:spacing w:line="400" w:lineRule="exact"/>
              <w:jc w:val="center"/>
              <w:rPr>
                <w:rFonts w:ascii="宋体" w:hAnsi="宋体" w:cs="宋体"/>
                <w:b w:val="0"/>
                <w:bCs/>
                <w:color w:val="auto"/>
                <w:highlight w:val="none"/>
              </w:rPr>
            </w:pPr>
          </w:p>
        </w:tc>
        <w:tc>
          <w:tcPr>
            <w:tcW w:w="2171" w:type="dxa"/>
            <w:tcBorders>
              <w:top w:val="single" w:color="auto" w:sz="4" w:space="0"/>
              <w:bottom w:val="single" w:color="auto" w:sz="4" w:space="0"/>
            </w:tcBorders>
            <w:vAlign w:val="center"/>
          </w:tcPr>
          <w:p w14:paraId="7F0341BD">
            <w:pPr>
              <w:spacing w:line="400" w:lineRule="exact"/>
              <w:jc w:val="center"/>
              <w:rPr>
                <w:rFonts w:hint="eastAsia" w:ascii="宋体" w:hAnsi="宋体" w:cs="宋体"/>
                <w:b w:val="0"/>
                <w:bCs/>
                <w:color w:val="auto"/>
                <w:highlight w:val="none"/>
              </w:rPr>
            </w:pPr>
            <w:r>
              <w:rPr>
                <w:rFonts w:hint="eastAsia" w:ascii="宋体" w:hAnsi="宋体" w:cs="宋体"/>
                <w:b w:val="0"/>
                <w:bCs/>
                <w:color w:val="auto"/>
                <w:kern w:val="0"/>
                <w:highlight w:val="none"/>
              </w:rPr>
              <w:t>投标总报价</w:t>
            </w:r>
          </w:p>
        </w:tc>
        <w:tc>
          <w:tcPr>
            <w:tcW w:w="4803" w:type="dxa"/>
            <w:vAlign w:val="center"/>
          </w:tcPr>
          <w:p w14:paraId="7F0341BE">
            <w:pPr>
              <w:snapToGrid w:val="0"/>
              <w:spacing w:line="400" w:lineRule="exact"/>
              <w:ind w:firstLine="420" w:firstLineChars="200"/>
              <w:rPr>
                <w:rFonts w:hint="eastAsia" w:ascii="宋体" w:hAnsi="宋体" w:cs="宋体"/>
                <w:b w:val="0"/>
                <w:bCs/>
                <w:i/>
                <w:color w:val="auto"/>
                <w:kern w:val="0"/>
                <w:szCs w:val="21"/>
                <w:highlight w:val="none"/>
              </w:rPr>
            </w:pPr>
            <w:r>
              <w:rPr>
                <w:rFonts w:hint="eastAsia" w:ascii="宋体" w:hAnsi="宋体" w:cs="宋体"/>
                <w:b w:val="0"/>
                <w:bCs/>
                <w:color w:val="auto"/>
                <w:kern w:val="0"/>
                <w:szCs w:val="21"/>
                <w:highlight w:val="none"/>
              </w:rPr>
              <w:t>进入报价评审的投标人</w:t>
            </w:r>
            <w:r>
              <w:rPr>
                <w:rFonts w:hint="eastAsia" w:ascii="宋体" w:hAnsi="宋体" w:cs="宋体"/>
                <w:b w:val="0"/>
                <w:bCs/>
                <w:color w:val="auto"/>
                <w:szCs w:val="21"/>
                <w:highlight w:val="none"/>
              </w:rPr>
              <w:t>的投标总报</w:t>
            </w:r>
            <w:r>
              <w:rPr>
                <w:rFonts w:hint="eastAsia" w:ascii="宋体" w:hAnsi="宋体" w:cs="宋体"/>
                <w:b w:val="0"/>
                <w:bCs/>
                <w:color w:val="auto"/>
                <w:kern w:val="0"/>
                <w:szCs w:val="21"/>
                <w:highlight w:val="none"/>
              </w:rPr>
              <w:t>价中去掉六分之一（不能整除的按小数点前整数取整，不足六家报价则不去掉）的最低价和相同家数的最高价后的算术平均值，即为本项目的投标总报价的评标基准价。</w:t>
            </w:r>
          </w:p>
          <w:p w14:paraId="7F0341BF">
            <w:pPr>
              <w:spacing w:line="400" w:lineRule="exact"/>
              <w:ind w:firstLine="420" w:firstLineChars="200"/>
              <w:rPr>
                <w:rFonts w:hint="eastAsia" w:ascii="宋体" w:hAnsi="宋体" w:cs="宋体"/>
                <w:b w:val="0"/>
                <w:bCs/>
                <w:i/>
                <w:iCs/>
                <w:color w:val="auto"/>
                <w:kern w:val="0"/>
                <w:szCs w:val="21"/>
                <w:highlight w:val="none"/>
              </w:rPr>
            </w:pPr>
            <w:r>
              <w:rPr>
                <w:rFonts w:hint="eastAsia" w:ascii="宋体" w:hAnsi="宋体" w:cs="宋体"/>
                <w:b w:val="0"/>
                <w:bCs/>
                <w:color w:val="auto"/>
                <w:kern w:val="0"/>
                <w:szCs w:val="21"/>
                <w:highlight w:val="none"/>
              </w:rPr>
              <w:t>评标基准价计算的最终结果取小数点后两位，小数点后第三位四舍五入。</w:t>
            </w:r>
          </w:p>
        </w:tc>
      </w:tr>
      <w:tr w14:paraId="7F0341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C1">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2.2.4</w:t>
            </w:r>
          </w:p>
        </w:tc>
        <w:tc>
          <w:tcPr>
            <w:tcW w:w="1680" w:type="dxa"/>
            <w:vAlign w:val="center"/>
          </w:tcPr>
          <w:p w14:paraId="7F0341C2">
            <w:pPr>
              <w:spacing w:line="400" w:lineRule="exact"/>
              <w:jc w:val="center"/>
              <w:rPr>
                <w:rFonts w:ascii="宋体" w:hAnsi="宋体" w:cs="宋体"/>
                <w:b w:val="0"/>
                <w:bCs/>
                <w:color w:val="auto"/>
                <w:highlight w:val="none"/>
              </w:rPr>
            </w:pPr>
            <w:r>
              <w:rPr>
                <w:rFonts w:hint="eastAsia" w:ascii="宋体" w:hAnsi="宋体" w:cs="宋体"/>
                <w:b w:val="0"/>
                <w:bCs/>
                <w:color w:val="auto"/>
                <w:kern w:val="0"/>
                <w:highlight w:val="none"/>
              </w:rPr>
              <w:t>偏差率计算</w:t>
            </w:r>
          </w:p>
        </w:tc>
        <w:tc>
          <w:tcPr>
            <w:tcW w:w="6974" w:type="dxa"/>
            <w:gridSpan w:val="2"/>
            <w:tcBorders>
              <w:top w:val="single" w:color="auto" w:sz="4" w:space="0"/>
              <w:bottom w:val="single" w:color="auto" w:sz="4" w:space="0"/>
            </w:tcBorders>
            <w:vAlign w:val="center"/>
          </w:tcPr>
          <w:p w14:paraId="7F0341C3">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投标总报价的偏差率计算公式</w:t>
            </w:r>
          </w:p>
          <w:p w14:paraId="7F0341C4">
            <w:pPr>
              <w:spacing w:line="400" w:lineRule="exact"/>
              <w:ind w:firstLine="420" w:firstLineChars="200"/>
              <w:jc w:val="left"/>
              <w:rPr>
                <w:rFonts w:hint="eastAsia" w:ascii="宋体" w:hAnsi="宋体" w:cs="宋体"/>
                <w:b w:val="0"/>
                <w:bCs/>
                <w:color w:val="auto"/>
                <w:kern w:val="0"/>
                <w:highlight w:val="none"/>
              </w:rPr>
            </w:pPr>
            <w:r>
              <w:rPr>
                <w:rFonts w:hint="eastAsia" w:ascii="宋体" w:hAnsi="宋体" w:cs="宋体"/>
                <w:b w:val="0"/>
                <w:bCs/>
                <w:color w:val="auto"/>
                <w:kern w:val="0"/>
                <w:highlight w:val="none"/>
              </w:rPr>
              <w:t>偏差率</w:t>
            </w:r>
            <w:r>
              <w:rPr>
                <w:rFonts w:hint="eastAsia" w:ascii="宋体" w:hAnsi="宋体" w:cs="宋体"/>
                <w:b w:val="0"/>
                <w:bCs/>
                <w:color w:val="auto"/>
                <w:kern w:val="0"/>
                <w:sz w:val="28"/>
                <w:szCs w:val="28"/>
                <w:highlight w:val="none"/>
              </w:rPr>
              <w:t>=</w:t>
            </w:r>
            <w:r>
              <w:rPr>
                <w:rFonts w:hint="eastAsia" w:ascii="宋体" w:hAnsi="宋体" w:cs="宋体"/>
                <w:b w:val="0"/>
                <w:bCs/>
                <w:color w:val="auto"/>
                <w:kern w:val="0"/>
                <w:highlight w:val="none"/>
              </w:rPr>
              <w:t>100％×（投标人报价一评标基准价）／评标基准价</w:t>
            </w:r>
          </w:p>
          <w:p w14:paraId="7F0341C5">
            <w:pPr>
              <w:spacing w:line="400" w:lineRule="exact"/>
              <w:ind w:firstLine="420" w:firstLineChars="200"/>
              <w:rPr>
                <w:rFonts w:hint="eastAsia" w:ascii="宋体" w:hAnsi="宋体" w:cs="宋体"/>
                <w:b w:val="0"/>
                <w:bCs/>
                <w:i/>
                <w:iCs/>
                <w:color w:val="auto"/>
                <w:kern w:val="0"/>
                <w:szCs w:val="21"/>
                <w:highlight w:val="none"/>
              </w:rPr>
            </w:pPr>
            <w:r>
              <w:rPr>
                <w:rFonts w:hint="eastAsia" w:ascii="宋体" w:hAnsi="宋体" w:cs="宋体"/>
                <w:b w:val="0"/>
                <w:bCs/>
                <w:color w:val="auto"/>
                <w:kern w:val="0"/>
                <w:highlight w:val="none"/>
              </w:rPr>
              <w:t>偏差率计算的最终结果取小数点后两位</w:t>
            </w:r>
            <w:r>
              <w:rPr>
                <w:rFonts w:hint="eastAsia" w:ascii="宋体" w:hAnsi="宋体" w:cs="宋体"/>
                <w:b w:val="0"/>
                <w:bCs/>
                <w:color w:val="auto"/>
                <w:kern w:val="0"/>
                <w:szCs w:val="21"/>
                <w:highlight w:val="none"/>
              </w:rPr>
              <w:t>，小数点后第三位四舍五入。</w:t>
            </w:r>
          </w:p>
        </w:tc>
      </w:tr>
      <w:tr w14:paraId="7F0341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C7">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3</w:t>
            </w:r>
          </w:p>
        </w:tc>
        <w:tc>
          <w:tcPr>
            <w:tcW w:w="1680" w:type="dxa"/>
            <w:vAlign w:val="center"/>
          </w:tcPr>
          <w:p w14:paraId="7F0341C8">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评标程序</w:t>
            </w:r>
          </w:p>
        </w:tc>
        <w:tc>
          <w:tcPr>
            <w:tcW w:w="6974" w:type="dxa"/>
            <w:gridSpan w:val="2"/>
            <w:tcBorders>
              <w:top w:val="single" w:color="auto" w:sz="4" w:space="0"/>
              <w:bottom w:val="single" w:color="auto" w:sz="4" w:space="0"/>
            </w:tcBorders>
            <w:vAlign w:val="center"/>
          </w:tcPr>
          <w:p w14:paraId="7F0341C9">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1.初步评审。按照第2.1.1项至第2.1.3项的规定，对所有投标文件进行初步评审。未通过初步评审或评标委员会认定为无效的投标文件的不再进行后续评审。</w:t>
            </w:r>
          </w:p>
          <w:p w14:paraId="7F0341CA">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2.技术评审。按照第2.2.2（1）目的规定，进行技术评审，计算出技术得分A。</w:t>
            </w:r>
          </w:p>
          <w:p w14:paraId="7F0341CB">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3.商务评审。按照第2.2.2（2）目的规定，进行商务评审，计算出商务得分B。</w:t>
            </w:r>
          </w:p>
          <w:p w14:paraId="7F0341CC">
            <w:pPr>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4.投标函部分评审。按照第2.2.2（3）目的规定，进行</w:t>
            </w:r>
            <w:r>
              <w:rPr>
                <w:rFonts w:hint="eastAsia" w:ascii="宋体" w:hAnsi="宋体" w:cs="宋体"/>
                <w:b w:val="0"/>
                <w:bCs/>
                <w:color w:val="auto"/>
                <w:kern w:val="0"/>
                <w:szCs w:val="21"/>
                <w:highlight w:val="none"/>
              </w:rPr>
              <w:t>投标函部分</w:t>
            </w:r>
            <w:r>
              <w:rPr>
                <w:rFonts w:hint="eastAsia" w:ascii="宋体" w:hAnsi="宋体" w:cs="宋体"/>
                <w:b w:val="0"/>
                <w:bCs/>
                <w:color w:val="auto"/>
                <w:szCs w:val="21"/>
                <w:highlight w:val="none"/>
              </w:rPr>
              <w:t>评审，未通过投标函部分评审的投标文件不再进行后续评审。</w:t>
            </w:r>
          </w:p>
          <w:p w14:paraId="7F0341CD">
            <w:pPr>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5.报价评审。按照第2.2.3项的规定，计算评标基准价；并按照第2.2.2（4）目的规定，进行报价评审，计算出报价得分C。</w:t>
            </w:r>
          </w:p>
          <w:p w14:paraId="7F0341CE">
            <w:pPr>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6.汇总得分。对技术得分A、商务得分B、报价得分C进行汇总，确定得分由高至低前三名投标人为中标候选人。</w:t>
            </w:r>
          </w:p>
          <w:p w14:paraId="7F0341CF">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注：（1）因评标委员会作否决投标导致有效投标人不足三个的，评标委员会应当</w:t>
            </w:r>
            <w:r>
              <w:rPr>
                <w:rFonts w:hint="eastAsia" w:ascii="宋体" w:hAnsi="宋体" w:cs="宋体"/>
                <w:b w:val="0"/>
                <w:bCs/>
                <w:color w:val="auto"/>
                <w:spacing w:val="4"/>
                <w:kern w:val="0"/>
                <w:szCs w:val="21"/>
                <w:highlight w:val="none"/>
              </w:rPr>
              <w:t>对有效投标人是否仍具有竞争性进行论证。评标委员会认为有效投标人</w:t>
            </w:r>
            <w:r>
              <w:rPr>
                <w:rFonts w:hint="eastAsia" w:ascii="宋体" w:hAnsi="宋体" w:cs="宋体"/>
                <w:b w:val="0"/>
                <w:bCs/>
                <w:color w:val="auto"/>
                <w:szCs w:val="21"/>
                <w:highlight w:val="none"/>
              </w:rPr>
              <w:t>的经济、技术等指标仍然具有市场竞争力，能够满足招标文件要求的，评标委员会可以继续评标并确定中标候选人。</w:t>
            </w:r>
            <w:r>
              <w:rPr>
                <w:rFonts w:hint="eastAsia" w:ascii="宋体" w:hAnsi="宋体" w:cs="宋体"/>
                <w:b w:val="0"/>
                <w:bCs/>
                <w:color w:val="auto"/>
                <w:kern w:val="0"/>
                <w:szCs w:val="21"/>
                <w:highlight w:val="none"/>
              </w:rPr>
              <w:t>（注：本款只适用于首次招标。重新招标经评审有有效投标人的，应当依法确定中标候选人。）</w:t>
            </w:r>
          </w:p>
          <w:p w14:paraId="7F0341D0">
            <w:pPr>
              <w:widowControl/>
              <w:spacing w:line="400" w:lineRule="exact"/>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（2）综合评分相等的，以</w:t>
            </w:r>
            <w:r>
              <w:rPr>
                <w:rFonts w:hint="eastAsia" w:ascii="宋体" w:hAnsi="宋体" w:cs="宋体"/>
                <w:b w:val="0"/>
                <w:bCs/>
                <w:color w:val="auto"/>
                <w:kern w:val="0"/>
                <w:szCs w:val="21"/>
                <w:highlight w:val="none"/>
                <w:u w:val="single"/>
              </w:rPr>
              <w:t>技术部分得分高</w:t>
            </w:r>
            <w:r>
              <w:rPr>
                <w:rFonts w:hint="eastAsia" w:ascii="宋体" w:hAnsi="宋体" w:cs="宋体"/>
                <w:b w:val="0"/>
                <w:bCs/>
                <w:color w:val="auto"/>
                <w:kern w:val="0"/>
                <w:szCs w:val="21"/>
                <w:highlight w:val="none"/>
                <w:u w:val="single"/>
                <w:lang w:val="en-US" w:eastAsia="zh-CN"/>
              </w:rPr>
              <w:t xml:space="preserve"> </w:t>
            </w:r>
            <w:r>
              <w:rPr>
                <w:rFonts w:hint="eastAsia" w:ascii="宋体" w:hAnsi="宋体" w:cs="宋体"/>
                <w:b w:val="0"/>
                <w:bCs/>
                <w:color w:val="auto"/>
                <w:kern w:val="0"/>
                <w:szCs w:val="21"/>
                <w:highlight w:val="none"/>
              </w:rPr>
              <w:t>的优先；</w:t>
            </w:r>
            <w:r>
              <w:rPr>
                <w:rFonts w:hint="eastAsia" w:ascii="宋体" w:hAnsi="宋体" w:cs="宋体"/>
                <w:b w:val="0"/>
                <w:bCs/>
                <w:color w:val="auto"/>
                <w:kern w:val="0"/>
                <w:szCs w:val="21"/>
                <w:highlight w:val="none"/>
                <w:lang w:val="en-US" w:eastAsia="zh-CN"/>
              </w:rPr>
              <w:t>技术部分得分</w:t>
            </w:r>
            <w:r>
              <w:rPr>
                <w:rFonts w:hint="eastAsia" w:ascii="宋体" w:hAnsi="宋体" w:cs="宋体"/>
                <w:b w:val="0"/>
                <w:bCs/>
                <w:color w:val="auto"/>
                <w:kern w:val="0"/>
                <w:szCs w:val="21"/>
                <w:highlight w:val="none"/>
              </w:rPr>
              <w:t>相等的，以</w:t>
            </w:r>
            <w:r>
              <w:rPr>
                <w:rFonts w:hint="eastAsia" w:ascii="宋体" w:hAnsi="宋体" w:cs="宋体"/>
                <w:b w:val="0"/>
                <w:bCs/>
                <w:color w:val="auto"/>
                <w:kern w:val="0"/>
                <w:szCs w:val="21"/>
                <w:highlight w:val="none"/>
                <w:u w:val="single"/>
              </w:rPr>
              <w:t xml:space="preserve"> 投标报价低 的</w:t>
            </w:r>
            <w:r>
              <w:rPr>
                <w:rFonts w:hint="eastAsia" w:ascii="宋体" w:hAnsi="宋体" w:cs="宋体"/>
                <w:b w:val="0"/>
                <w:bCs/>
                <w:color w:val="auto"/>
                <w:kern w:val="0"/>
                <w:szCs w:val="21"/>
                <w:highlight w:val="none"/>
              </w:rPr>
              <w:t>优先；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lang w:val="en-US" w:eastAsia="zh-CN"/>
              </w:rPr>
              <w:t>投标报价</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也相同的，由评标委员会投票排序。</w:t>
            </w:r>
          </w:p>
        </w:tc>
      </w:tr>
      <w:tr w14:paraId="7F0341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D2">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3.2.3</w:t>
            </w:r>
          </w:p>
        </w:tc>
        <w:tc>
          <w:tcPr>
            <w:tcW w:w="1680" w:type="dxa"/>
            <w:vAlign w:val="center"/>
          </w:tcPr>
          <w:p w14:paraId="7F0341D3">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投标人得分</w:t>
            </w:r>
          </w:p>
        </w:tc>
        <w:tc>
          <w:tcPr>
            <w:tcW w:w="6974" w:type="dxa"/>
            <w:gridSpan w:val="2"/>
            <w:tcBorders>
              <w:top w:val="single" w:color="auto" w:sz="4" w:space="0"/>
              <w:bottom w:val="single" w:color="auto" w:sz="4" w:space="0"/>
            </w:tcBorders>
            <w:vAlign w:val="center"/>
          </w:tcPr>
          <w:p w14:paraId="7F0341D4">
            <w:pPr>
              <w:spacing w:line="40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highlight w:val="none"/>
              </w:rPr>
              <w:t>投标人得分=</w:t>
            </w:r>
            <w:r>
              <w:rPr>
                <w:rFonts w:hint="eastAsia" w:ascii="宋体" w:hAnsi="宋体" w:cs="宋体"/>
                <w:b w:val="0"/>
                <w:bCs/>
                <w:color w:val="auto"/>
                <w:kern w:val="0"/>
                <w:szCs w:val="21"/>
                <w:highlight w:val="none"/>
              </w:rPr>
              <w:t>A+B+C</w:t>
            </w:r>
          </w:p>
        </w:tc>
      </w:tr>
      <w:tr w14:paraId="7F0341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34" w:type="dxa"/>
            <w:vAlign w:val="center"/>
          </w:tcPr>
          <w:p w14:paraId="7F0341D6">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3.4</w:t>
            </w:r>
          </w:p>
        </w:tc>
        <w:tc>
          <w:tcPr>
            <w:tcW w:w="1680" w:type="dxa"/>
            <w:vAlign w:val="center"/>
          </w:tcPr>
          <w:p w14:paraId="7F0341D7">
            <w:pPr>
              <w:spacing w:line="400" w:lineRule="exact"/>
              <w:jc w:val="center"/>
              <w:rPr>
                <w:rFonts w:hint="eastAsia" w:ascii="宋体" w:hAnsi="宋体" w:cs="宋体"/>
                <w:b w:val="0"/>
                <w:bCs/>
                <w:color w:val="auto"/>
                <w:highlight w:val="none"/>
              </w:rPr>
            </w:pPr>
            <w:r>
              <w:rPr>
                <w:rFonts w:hint="eastAsia" w:ascii="宋体" w:hAnsi="宋体" w:cs="宋体"/>
                <w:b w:val="0"/>
                <w:bCs/>
                <w:color w:val="auto"/>
                <w:highlight w:val="none"/>
              </w:rPr>
              <w:t>评标结果</w:t>
            </w:r>
          </w:p>
        </w:tc>
        <w:tc>
          <w:tcPr>
            <w:tcW w:w="6974" w:type="dxa"/>
            <w:gridSpan w:val="2"/>
            <w:tcBorders>
              <w:top w:val="single" w:color="auto" w:sz="4" w:space="0"/>
            </w:tcBorders>
            <w:vAlign w:val="center"/>
          </w:tcPr>
          <w:p w14:paraId="7F0341D8">
            <w:pPr>
              <w:spacing w:line="400" w:lineRule="exact"/>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3.4.1除第二章“投标人须知”前附表授权直接确定中标人外，评标委员会按照得分由高到低的顺序推荐中标候选人。</w:t>
            </w:r>
          </w:p>
          <w:p w14:paraId="7F0341D9">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2"/>
                <w:highlight w:val="none"/>
              </w:rPr>
              <w:t>3.4.2评标委员会完成评标后，应当向招标人提交书面评标报告和中标候选人名单。</w:t>
            </w:r>
          </w:p>
        </w:tc>
      </w:tr>
    </w:tbl>
    <w:p w14:paraId="7F0341DB">
      <w:pPr>
        <w:pStyle w:val="4"/>
        <w:spacing w:before="0" w:after="0" w:line="360" w:lineRule="auto"/>
        <w:rPr>
          <w:rFonts w:hint="eastAsia" w:ascii="宋体" w:hAnsi="宋体" w:cs="宋体"/>
          <w:b w:val="0"/>
          <w:bCs/>
          <w:snapToGrid w:val="0"/>
          <w:color w:val="auto"/>
          <w:highlight w:val="none"/>
        </w:rPr>
      </w:pPr>
      <w:bookmarkStart w:id="522" w:name="_Toc509218776"/>
      <w:r>
        <w:rPr>
          <w:rFonts w:hint="eastAsia" w:ascii="宋体" w:hAnsi="宋体" w:cs="宋体"/>
          <w:b w:val="0"/>
          <w:bCs/>
          <w:snapToGrid w:val="0"/>
          <w:color w:val="auto"/>
          <w:highlight w:val="none"/>
        </w:rPr>
        <w:br w:type="page"/>
      </w:r>
      <w:bookmarkStart w:id="523" w:name="_Toc26970"/>
      <w:bookmarkStart w:id="524" w:name="_Toc20523"/>
      <w:r>
        <w:rPr>
          <w:rFonts w:hint="eastAsia" w:ascii="宋体" w:hAnsi="宋体" w:cs="宋体"/>
          <w:b w:val="0"/>
          <w:bCs/>
          <w:snapToGrid w:val="0"/>
          <w:color w:val="auto"/>
          <w:highlight w:val="none"/>
        </w:rPr>
        <w:t>1.  评标方法</w:t>
      </w:r>
      <w:bookmarkEnd w:id="522"/>
      <w:bookmarkEnd w:id="523"/>
      <w:bookmarkEnd w:id="524"/>
    </w:p>
    <w:p w14:paraId="7F0341DC">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本次评标采用综合评估法</w:t>
      </w:r>
      <w:r>
        <w:rPr>
          <w:rFonts w:hint="eastAsia" w:ascii="宋体" w:hAnsi="宋体" w:cs="宋体"/>
          <w:b w:val="0"/>
          <w:bCs/>
          <w:color w:val="auto"/>
          <w:spacing w:val="-47"/>
          <w:kern w:val="0"/>
          <w:szCs w:val="21"/>
          <w:highlight w:val="none"/>
        </w:rPr>
        <w:t>。</w:t>
      </w:r>
      <w:r>
        <w:rPr>
          <w:rFonts w:hint="eastAsia" w:ascii="宋体" w:hAnsi="宋体" w:cs="宋体"/>
          <w:b w:val="0"/>
          <w:bCs/>
          <w:color w:val="auto"/>
          <w:kern w:val="0"/>
          <w:szCs w:val="21"/>
          <w:highlight w:val="none"/>
        </w:rPr>
        <w:t xml:space="preserve">评标委员会对满足招标文件实质性要求的投标文件，按照本章第 </w:t>
      </w:r>
      <w:r>
        <w:rPr>
          <w:rFonts w:hint="eastAsia" w:ascii="宋体" w:hAnsi="宋体" w:cs="宋体"/>
          <w:b w:val="0"/>
          <w:bCs/>
          <w:color w:val="auto"/>
          <w:spacing w:val="1"/>
          <w:kern w:val="0"/>
          <w:szCs w:val="21"/>
          <w:highlight w:val="none"/>
        </w:rPr>
        <w:t>2</w:t>
      </w:r>
      <w:r>
        <w:rPr>
          <w:rFonts w:hint="eastAsia" w:ascii="宋体" w:hAnsi="宋体" w:cs="宋体"/>
          <w:b w:val="0"/>
          <w:bCs/>
          <w:color w:val="auto"/>
          <w:spacing w:val="-1"/>
          <w:kern w:val="0"/>
          <w:szCs w:val="21"/>
          <w:highlight w:val="none"/>
        </w:rPr>
        <w:t>.</w:t>
      </w:r>
      <w:r>
        <w:rPr>
          <w:rFonts w:hint="eastAsia" w:ascii="宋体" w:hAnsi="宋体" w:cs="宋体"/>
          <w:b w:val="0"/>
          <w:bCs/>
          <w:color w:val="auto"/>
          <w:kern w:val="0"/>
          <w:szCs w:val="21"/>
          <w:highlight w:val="none"/>
        </w:rPr>
        <w:t>2</w:t>
      </w:r>
      <w:r>
        <w:rPr>
          <w:rFonts w:hint="eastAsia" w:ascii="宋体" w:hAnsi="宋体" w:cs="宋体"/>
          <w:b w:val="0"/>
          <w:bCs/>
          <w:color w:val="auto"/>
          <w:spacing w:val="1"/>
          <w:kern w:val="0"/>
          <w:szCs w:val="21"/>
          <w:highlight w:val="none"/>
        </w:rPr>
        <w:t xml:space="preserve"> </w:t>
      </w:r>
      <w:r>
        <w:rPr>
          <w:rFonts w:hint="eastAsia" w:ascii="宋体" w:hAnsi="宋体" w:cs="宋体"/>
          <w:b w:val="0"/>
          <w:bCs/>
          <w:color w:val="auto"/>
          <w:kern w:val="0"/>
          <w:szCs w:val="21"/>
          <w:highlight w:val="none"/>
        </w:rPr>
        <w:t>款</w:t>
      </w:r>
      <w:r>
        <w:rPr>
          <w:rFonts w:hint="eastAsia" w:ascii="宋体" w:hAnsi="宋体" w:cs="宋体"/>
          <w:b w:val="0"/>
          <w:bCs/>
          <w:color w:val="auto"/>
          <w:spacing w:val="-1"/>
          <w:kern w:val="0"/>
          <w:szCs w:val="21"/>
          <w:highlight w:val="none"/>
        </w:rPr>
        <w:t>规</w:t>
      </w:r>
      <w:r>
        <w:rPr>
          <w:rFonts w:hint="eastAsia" w:ascii="宋体" w:hAnsi="宋体" w:cs="宋体"/>
          <w:b w:val="0"/>
          <w:bCs/>
          <w:color w:val="auto"/>
          <w:kern w:val="0"/>
          <w:szCs w:val="21"/>
          <w:highlight w:val="none"/>
        </w:rPr>
        <w:t>定的评分标准进行评分，并按得分由高到低顺序推荐中标候选人</w:t>
      </w:r>
      <w:r>
        <w:rPr>
          <w:rFonts w:hint="eastAsia" w:ascii="宋体" w:hAnsi="宋体" w:cs="宋体"/>
          <w:b w:val="0"/>
          <w:bCs/>
          <w:color w:val="auto"/>
          <w:spacing w:val="-20"/>
          <w:kern w:val="0"/>
          <w:szCs w:val="21"/>
          <w:highlight w:val="none"/>
        </w:rPr>
        <w:t>，</w:t>
      </w:r>
      <w:r>
        <w:rPr>
          <w:rFonts w:hint="eastAsia" w:ascii="宋体" w:hAnsi="宋体" w:cs="宋体"/>
          <w:b w:val="0"/>
          <w:bCs/>
          <w:color w:val="auto"/>
          <w:kern w:val="0"/>
          <w:szCs w:val="21"/>
          <w:highlight w:val="none"/>
        </w:rPr>
        <w:t>或根据招标人授权直接确定中标人。出现投标人综合评分相等时，以评标办法前附表约定的原则确定</w:t>
      </w:r>
      <w:r>
        <w:rPr>
          <w:rFonts w:hint="eastAsia" w:ascii="宋体" w:hAnsi="宋体" w:cs="宋体"/>
          <w:b w:val="0"/>
          <w:bCs/>
          <w:color w:val="auto"/>
          <w:highlight w:val="none"/>
        </w:rPr>
        <w:t>排序</w:t>
      </w:r>
      <w:r>
        <w:rPr>
          <w:rFonts w:hint="eastAsia" w:ascii="宋体" w:hAnsi="宋体" w:cs="宋体"/>
          <w:b w:val="0"/>
          <w:bCs/>
          <w:color w:val="auto"/>
          <w:spacing w:val="-31"/>
          <w:kern w:val="0"/>
          <w:szCs w:val="21"/>
          <w:highlight w:val="none"/>
        </w:rPr>
        <w:t>。</w:t>
      </w:r>
    </w:p>
    <w:p w14:paraId="7F0341DD">
      <w:pPr>
        <w:pStyle w:val="4"/>
        <w:spacing w:before="0" w:after="0" w:line="360" w:lineRule="auto"/>
        <w:rPr>
          <w:rFonts w:hint="eastAsia" w:ascii="宋体" w:hAnsi="宋体" w:cs="宋体"/>
          <w:b w:val="0"/>
          <w:bCs/>
          <w:snapToGrid w:val="0"/>
          <w:color w:val="auto"/>
          <w:highlight w:val="none"/>
        </w:rPr>
      </w:pPr>
      <w:bookmarkStart w:id="525" w:name="_Toc287607813"/>
      <w:bookmarkStart w:id="526" w:name="_Toc509218777"/>
      <w:bookmarkStart w:id="527" w:name="_Toc11608"/>
      <w:bookmarkStart w:id="528" w:name="_Toc200513199"/>
      <w:bookmarkStart w:id="529" w:name="_Toc224103385"/>
      <w:bookmarkStart w:id="530" w:name="_Toc277082619"/>
      <w:bookmarkStart w:id="531" w:name="_Toc10675"/>
      <w:bookmarkStart w:id="532" w:name="_Toc287620752"/>
      <w:bookmarkStart w:id="533" w:name="_Toc430530501"/>
      <w:r>
        <w:rPr>
          <w:rFonts w:hint="eastAsia" w:ascii="宋体" w:hAnsi="宋体" w:cs="宋体"/>
          <w:b w:val="0"/>
          <w:bCs/>
          <w:snapToGrid w:val="0"/>
          <w:color w:val="auto"/>
          <w:highlight w:val="none"/>
        </w:rPr>
        <w:t>2.  评审标准</w:t>
      </w:r>
      <w:bookmarkEnd w:id="525"/>
      <w:bookmarkEnd w:id="526"/>
      <w:bookmarkEnd w:id="527"/>
      <w:bookmarkEnd w:id="528"/>
      <w:bookmarkEnd w:id="529"/>
      <w:bookmarkEnd w:id="530"/>
      <w:bookmarkEnd w:id="531"/>
      <w:bookmarkEnd w:id="532"/>
      <w:bookmarkEnd w:id="533"/>
    </w:p>
    <w:p w14:paraId="7F0341DE">
      <w:pPr>
        <w:pStyle w:val="5"/>
        <w:snapToGrid w:val="0"/>
        <w:spacing w:before="0" w:after="0" w:line="360" w:lineRule="auto"/>
        <w:rPr>
          <w:rFonts w:hint="eastAsia" w:ascii="宋体" w:hAnsi="宋体" w:cs="宋体"/>
          <w:b w:val="0"/>
          <w:bCs/>
          <w:snapToGrid w:val="0"/>
          <w:color w:val="auto"/>
          <w:sz w:val="24"/>
          <w:szCs w:val="24"/>
          <w:highlight w:val="none"/>
        </w:rPr>
      </w:pPr>
      <w:bookmarkStart w:id="534" w:name="_Toc9386"/>
      <w:bookmarkStart w:id="535" w:name="_Toc287620753"/>
      <w:bookmarkStart w:id="536" w:name="_Toc277082620"/>
      <w:bookmarkStart w:id="537" w:name="_Toc224103386"/>
      <w:bookmarkStart w:id="538" w:name="_Toc287607814"/>
      <w:bookmarkStart w:id="539" w:name="_Toc103"/>
      <w:bookmarkStart w:id="540" w:name="_Toc430530502"/>
      <w:bookmarkStart w:id="541" w:name="_Toc509218778"/>
      <w:bookmarkStart w:id="542" w:name="_Toc200513200"/>
      <w:r>
        <w:rPr>
          <w:rFonts w:hint="eastAsia" w:ascii="宋体" w:hAnsi="宋体" w:cs="宋体"/>
          <w:b w:val="0"/>
          <w:bCs/>
          <w:snapToGrid w:val="0"/>
          <w:color w:val="auto"/>
          <w:sz w:val="24"/>
          <w:szCs w:val="24"/>
          <w:highlight w:val="none"/>
        </w:rPr>
        <w:t>2.1  初步评审标准</w:t>
      </w:r>
      <w:bookmarkEnd w:id="534"/>
      <w:bookmarkEnd w:id="535"/>
      <w:bookmarkEnd w:id="536"/>
      <w:bookmarkEnd w:id="537"/>
      <w:bookmarkEnd w:id="538"/>
      <w:bookmarkEnd w:id="539"/>
      <w:bookmarkEnd w:id="540"/>
      <w:bookmarkEnd w:id="541"/>
      <w:bookmarkEnd w:id="542"/>
    </w:p>
    <w:p w14:paraId="7F0341DF">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2.1.1A  资格评审标准：见评标办法前附表。</w:t>
      </w:r>
    </w:p>
    <w:p w14:paraId="7F0341E0">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2.1.2  形式评审标准：见评标办法前附表。</w:t>
      </w:r>
    </w:p>
    <w:p w14:paraId="7F0341E1">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2.1.3  响应性评审标准：见评标办法前附表。</w:t>
      </w:r>
    </w:p>
    <w:p w14:paraId="7F0341E2">
      <w:pPr>
        <w:pStyle w:val="5"/>
        <w:snapToGrid w:val="0"/>
        <w:spacing w:before="0" w:after="0" w:line="360" w:lineRule="auto"/>
        <w:rPr>
          <w:rFonts w:hint="eastAsia" w:ascii="宋体" w:hAnsi="宋体" w:cs="宋体"/>
          <w:b w:val="0"/>
          <w:bCs/>
          <w:snapToGrid w:val="0"/>
          <w:color w:val="auto"/>
          <w:sz w:val="24"/>
          <w:szCs w:val="24"/>
          <w:highlight w:val="none"/>
        </w:rPr>
      </w:pPr>
      <w:bookmarkStart w:id="543" w:name="_Toc200513201"/>
      <w:bookmarkStart w:id="544" w:name="_Toc6642"/>
      <w:bookmarkStart w:id="545" w:name="_Toc26090"/>
      <w:bookmarkStart w:id="546" w:name="_Toc430530503"/>
      <w:bookmarkStart w:id="547" w:name="_Toc287620754"/>
      <w:bookmarkStart w:id="548" w:name="_Toc224103387"/>
      <w:bookmarkStart w:id="549" w:name="_Toc509218779"/>
      <w:bookmarkStart w:id="550" w:name="_Toc277082621"/>
      <w:bookmarkStart w:id="551" w:name="_Toc287607815"/>
      <w:r>
        <w:rPr>
          <w:rFonts w:hint="eastAsia" w:ascii="宋体" w:hAnsi="宋体" w:cs="宋体"/>
          <w:b w:val="0"/>
          <w:bCs/>
          <w:snapToGrid w:val="0"/>
          <w:color w:val="auto"/>
          <w:sz w:val="24"/>
          <w:szCs w:val="24"/>
          <w:highlight w:val="none"/>
        </w:rPr>
        <w:t>2.2  分值构成与评审标准</w:t>
      </w:r>
      <w:bookmarkEnd w:id="543"/>
      <w:bookmarkEnd w:id="544"/>
      <w:bookmarkEnd w:id="545"/>
      <w:bookmarkEnd w:id="546"/>
      <w:bookmarkEnd w:id="547"/>
      <w:bookmarkEnd w:id="548"/>
      <w:bookmarkEnd w:id="549"/>
      <w:bookmarkEnd w:id="550"/>
      <w:bookmarkEnd w:id="551"/>
    </w:p>
    <w:p w14:paraId="7F0341E3">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2.2.1  分值构成</w:t>
      </w:r>
    </w:p>
    <w:p w14:paraId="7F0341E4">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1</w:t>
      </w:r>
      <w:r>
        <w:rPr>
          <w:rFonts w:hint="eastAsia" w:ascii="宋体" w:hAnsi="宋体" w:cs="宋体"/>
          <w:b w:val="0"/>
          <w:bCs/>
          <w:color w:val="auto"/>
          <w:kern w:val="0"/>
          <w:szCs w:val="21"/>
          <w:highlight w:val="none"/>
        </w:rPr>
        <w:t>）技术评审分值：见评标办法前附表；</w:t>
      </w:r>
    </w:p>
    <w:p w14:paraId="7F0341E5">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2</w:t>
      </w:r>
      <w:r>
        <w:rPr>
          <w:rFonts w:hint="eastAsia" w:ascii="宋体" w:hAnsi="宋体" w:cs="宋体"/>
          <w:b w:val="0"/>
          <w:bCs/>
          <w:color w:val="auto"/>
          <w:kern w:val="0"/>
          <w:szCs w:val="21"/>
          <w:highlight w:val="none"/>
        </w:rPr>
        <w:t>）商务评审分值：见评标办法前附表；</w:t>
      </w:r>
    </w:p>
    <w:p w14:paraId="7F0341E6">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3</w:t>
      </w: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报</w:t>
      </w:r>
      <w:r>
        <w:rPr>
          <w:rFonts w:hint="eastAsia" w:ascii="宋体" w:hAnsi="宋体" w:cs="宋体"/>
          <w:b w:val="0"/>
          <w:bCs/>
          <w:color w:val="auto"/>
          <w:kern w:val="0"/>
          <w:szCs w:val="21"/>
          <w:highlight w:val="none"/>
        </w:rPr>
        <w:t>价评审分值：见评标办法前附表。</w:t>
      </w:r>
    </w:p>
    <w:p w14:paraId="7F0341E7">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2.2.2  评审标准</w:t>
      </w:r>
    </w:p>
    <w:p w14:paraId="7F0341E8">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（1）技术评审标准：见评标办法前附表；</w:t>
      </w:r>
    </w:p>
    <w:p w14:paraId="7F0341E9">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（2）商务评审标准：见评标办法前附表；</w:t>
      </w:r>
    </w:p>
    <w:p w14:paraId="7F0341EA">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（3）投标函部分评审标准：见评标办法前附表；</w:t>
      </w:r>
    </w:p>
    <w:p w14:paraId="7F0341EB">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（4）报价评审标准：见评标办法前附表。</w:t>
      </w:r>
    </w:p>
    <w:p w14:paraId="7F0341EC">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2.2.3  评标基准价计算</w:t>
      </w:r>
    </w:p>
    <w:p w14:paraId="7F0341ED">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评标基准价计算方法：见评标办法前附表。</w:t>
      </w:r>
    </w:p>
    <w:p w14:paraId="7F0341EE">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2.2.4  投标报价的偏差率计算</w:t>
      </w:r>
    </w:p>
    <w:p w14:paraId="7F0341EF">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color w:val="auto"/>
          <w:kern w:val="0"/>
          <w:szCs w:val="21"/>
          <w:highlight w:val="none"/>
        </w:rPr>
        <w:t>投标报价的偏差率计算公式：见评标办法前附表；</w:t>
      </w:r>
    </w:p>
    <w:p w14:paraId="7F0341F0">
      <w:pPr>
        <w:pStyle w:val="4"/>
        <w:spacing w:before="0" w:after="0" w:line="360" w:lineRule="auto"/>
        <w:rPr>
          <w:rFonts w:hint="eastAsia" w:ascii="宋体" w:hAnsi="宋体" w:cs="宋体"/>
          <w:b w:val="0"/>
          <w:bCs/>
          <w:snapToGrid w:val="0"/>
          <w:color w:val="auto"/>
          <w:highlight w:val="none"/>
        </w:rPr>
      </w:pPr>
      <w:bookmarkStart w:id="552" w:name="_Toc32251"/>
      <w:bookmarkStart w:id="553" w:name="_Toc224103388"/>
      <w:bookmarkStart w:id="554" w:name="_Toc509218780"/>
      <w:bookmarkStart w:id="555" w:name="_Toc277082622"/>
      <w:bookmarkStart w:id="556" w:name="_Toc30976"/>
      <w:bookmarkStart w:id="557" w:name="_Toc287620755"/>
      <w:bookmarkStart w:id="558" w:name="_Toc430530504"/>
      <w:bookmarkStart w:id="559" w:name="_Toc287607816"/>
      <w:bookmarkStart w:id="560" w:name="_Toc200513202"/>
      <w:r>
        <w:rPr>
          <w:rFonts w:hint="eastAsia" w:ascii="宋体" w:hAnsi="宋体" w:cs="宋体"/>
          <w:b w:val="0"/>
          <w:bCs/>
          <w:snapToGrid w:val="0"/>
          <w:color w:val="auto"/>
          <w:highlight w:val="none"/>
        </w:rPr>
        <w:t>3.  评标程序</w:t>
      </w:r>
      <w:bookmarkEnd w:id="552"/>
      <w:bookmarkEnd w:id="553"/>
      <w:bookmarkEnd w:id="554"/>
      <w:bookmarkEnd w:id="555"/>
      <w:bookmarkEnd w:id="556"/>
      <w:bookmarkEnd w:id="557"/>
      <w:bookmarkEnd w:id="558"/>
      <w:bookmarkEnd w:id="559"/>
      <w:bookmarkEnd w:id="560"/>
    </w:p>
    <w:p w14:paraId="7F0341F1">
      <w:pPr>
        <w:pStyle w:val="5"/>
        <w:snapToGrid w:val="0"/>
        <w:spacing w:before="0" w:after="0" w:line="360" w:lineRule="auto"/>
        <w:rPr>
          <w:rFonts w:hint="eastAsia" w:ascii="宋体" w:hAnsi="宋体" w:cs="宋体"/>
          <w:b w:val="0"/>
          <w:bCs/>
          <w:snapToGrid w:val="0"/>
          <w:color w:val="auto"/>
          <w:sz w:val="24"/>
          <w:szCs w:val="24"/>
          <w:highlight w:val="none"/>
        </w:rPr>
      </w:pPr>
      <w:bookmarkStart w:id="561" w:name="_Toc287620756"/>
      <w:bookmarkStart w:id="562" w:name="_Toc224103389"/>
      <w:bookmarkStart w:id="563" w:name="_Toc277082623"/>
      <w:bookmarkStart w:id="564" w:name="_Toc509218781"/>
      <w:bookmarkStart w:id="565" w:name="_Toc200513203"/>
      <w:bookmarkStart w:id="566" w:name="_Toc430530505"/>
      <w:bookmarkStart w:id="567" w:name="_Toc287607817"/>
      <w:bookmarkStart w:id="568" w:name="_Toc28133"/>
      <w:bookmarkStart w:id="569" w:name="_Toc2768"/>
      <w:r>
        <w:rPr>
          <w:rFonts w:hint="eastAsia" w:ascii="宋体" w:hAnsi="宋体" w:cs="宋体"/>
          <w:b w:val="0"/>
          <w:bCs/>
          <w:snapToGrid w:val="0"/>
          <w:color w:val="auto"/>
          <w:sz w:val="24"/>
          <w:szCs w:val="24"/>
          <w:highlight w:val="none"/>
        </w:rPr>
        <w:t>3.1  初步评审</w:t>
      </w:r>
      <w:bookmarkEnd w:id="561"/>
      <w:bookmarkEnd w:id="562"/>
      <w:bookmarkEnd w:id="563"/>
      <w:bookmarkEnd w:id="564"/>
      <w:bookmarkEnd w:id="565"/>
      <w:bookmarkEnd w:id="566"/>
      <w:bookmarkEnd w:id="567"/>
      <w:bookmarkEnd w:id="568"/>
      <w:bookmarkEnd w:id="569"/>
    </w:p>
    <w:p w14:paraId="7F0341F2">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3.1.1  评标委员会依据本章第 2.1 款规定的标准对投标文件进行初步评审。有一项不符合评审标准的，作否决投标处理。</w:t>
      </w:r>
    </w:p>
    <w:p w14:paraId="7F0341F3">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3.1.2  投标文件中的大写金额与小写金额不一致的，评标委员会按照以大写金额为准的原则对投标报价进行修正，修正的价格经投标人书面确认后具有约束力。</w:t>
      </w:r>
    </w:p>
    <w:p w14:paraId="7F0341F4">
      <w:pPr>
        <w:pStyle w:val="5"/>
        <w:snapToGrid w:val="0"/>
        <w:spacing w:before="0" w:after="0" w:line="360" w:lineRule="auto"/>
        <w:rPr>
          <w:rFonts w:hint="eastAsia" w:ascii="宋体" w:hAnsi="宋体" w:cs="宋体"/>
          <w:b w:val="0"/>
          <w:bCs/>
          <w:snapToGrid w:val="0"/>
          <w:color w:val="auto"/>
          <w:sz w:val="24"/>
          <w:szCs w:val="24"/>
          <w:highlight w:val="none"/>
        </w:rPr>
      </w:pPr>
      <w:bookmarkStart w:id="570" w:name="_Toc287620757"/>
      <w:bookmarkStart w:id="571" w:name="_Toc509218782"/>
      <w:bookmarkStart w:id="572" w:name="_Toc200513204"/>
      <w:bookmarkStart w:id="573" w:name="_Toc224103390"/>
      <w:bookmarkStart w:id="574" w:name="_Toc1"/>
      <w:bookmarkStart w:id="575" w:name="_Toc17761"/>
      <w:bookmarkStart w:id="576" w:name="_Toc430530506"/>
      <w:bookmarkStart w:id="577" w:name="_Toc287607818"/>
      <w:bookmarkStart w:id="578" w:name="_Toc277082624"/>
      <w:r>
        <w:rPr>
          <w:rFonts w:hint="eastAsia" w:ascii="宋体" w:hAnsi="宋体" w:cs="宋体"/>
          <w:b w:val="0"/>
          <w:bCs/>
          <w:snapToGrid w:val="0"/>
          <w:color w:val="auto"/>
          <w:sz w:val="24"/>
          <w:szCs w:val="24"/>
          <w:highlight w:val="none"/>
        </w:rPr>
        <w:t>3.2  详细评审</w:t>
      </w:r>
      <w:bookmarkEnd w:id="570"/>
      <w:bookmarkEnd w:id="571"/>
      <w:bookmarkEnd w:id="572"/>
      <w:bookmarkEnd w:id="573"/>
      <w:bookmarkEnd w:id="574"/>
      <w:bookmarkEnd w:id="575"/>
      <w:bookmarkEnd w:id="576"/>
      <w:bookmarkEnd w:id="577"/>
      <w:bookmarkEnd w:id="578"/>
    </w:p>
    <w:p w14:paraId="7F0341F5">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3.2.1  </w:t>
      </w:r>
      <w:r>
        <w:rPr>
          <w:rFonts w:hint="eastAsia" w:ascii="宋体" w:hAnsi="宋体" w:cs="宋体"/>
          <w:b w:val="0"/>
          <w:bCs/>
          <w:color w:val="auto"/>
          <w:szCs w:val="22"/>
          <w:highlight w:val="none"/>
        </w:rPr>
        <w:t>详细评标程序：见评标办法前附表</w:t>
      </w:r>
      <w:r>
        <w:rPr>
          <w:rFonts w:hint="eastAsia" w:ascii="宋体" w:hAnsi="宋体" w:cs="宋体"/>
          <w:b w:val="0"/>
          <w:bCs/>
          <w:color w:val="auto"/>
          <w:kern w:val="0"/>
          <w:szCs w:val="21"/>
          <w:highlight w:val="none"/>
        </w:rPr>
        <w:t>。</w:t>
      </w:r>
    </w:p>
    <w:p w14:paraId="7F0341F6">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3.2.2  各类评分分值的最终计算结果保留两位小数，小数点后第三位“四舍五入”。</w:t>
      </w:r>
    </w:p>
    <w:p w14:paraId="7F0341F7">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3.2.3  投标人得分=A+B+C。</w:t>
      </w:r>
    </w:p>
    <w:p w14:paraId="7F0341F8">
      <w:pPr>
        <w:pStyle w:val="5"/>
        <w:snapToGrid w:val="0"/>
        <w:spacing w:before="0" w:after="0" w:line="360" w:lineRule="auto"/>
        <w:rPr>
          <w:rFonts w:hint="eastAsia" w:ascii="宋体" w:hAnsi="宋体" w:cs="宋体"/>
          <w:b w:val="0"/>
          <w:bCs/>
          <w:snapToGrid w:val="0"/>
          <w:color w:val="auto"/>
          <w:sz w:val="24"/>
          <w:szCs w:val="24"/>
          <w:highlight w:val="none"/>
        </w:rPr>
      </w:pPr>
      <w:bookmarkStart w:id="579" w:name="_Toc224103391"/>
      <w:bookmarkStart w:id="580" w:name="_Toc277082625"/>
      <w:bookmarkStart w:id="581" w:name="_Toc287607819"/>
      <w:bookmarkStart w:id="582" w:name="_Toc430530507"/>
      <w:bookmarkStart w:id="583" w:name="_Toc200513205"/>
      <w:bookmarkStart w:id="584" w:name="_Toc287620758"/>
      <w:bookmarkStart w:id="585" w:name="_Toc17810"/>
      <w:bookmarkStart w:id="586" w:name="_Toc509218783"/>
      <w:bookmarkStart w:id="587" w:name="_Toc3806"/>
      <w:r>
        <w:rPr>
          <w:rFonts w:hint="eastAsia" w:ascii="宋体" w:hAnsi="宋体" w:cs="宋体"/>
          <w:b w:val="0"/>
          <w:bCs/>
          <w:snapToGrid w:val="0"/>
          <w:color w:val="auto"/>
          <w:sz w:val="24"/>
          <w:szCs w:val="24"/>
          <w:highlight w:val="none"/>
        </w:rPr>
        <w:t>3.3  投标文件的澄清</w:t>
      </w:r>
      <w:bookmarkEnd w:id="579"/>
      <w:bookmarkEnd w:id="580"/>
      <w:bookmarkEnd w:id="581"/>
      <w:bookmarkEnd w:id="582"/>
      <w:bookmarkEnd w:id="583"/>
      <w:bookmarkEnd w:id="584"/>
      <w:bookmarkEnd w:id="585"/>
      <w:bookmarkEnd w:id="586"/>
      <w:bookmarkEnd w:id="587"/>
    </w:p>
    <w:p w14:paraId="7F0341F9">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bookmarkStart w:id="588" w:name="_Hlk71569932"/>
      <w:r>
        <w:rPr>
          <w:rFonts w:hint="eastAsia" w:ascii="宋体" w:hAnsi="宋体" w:cs="宋体"/>
          <w:b w:val="0"/>
          <w:bCs/>
          <w:color w:val="auto"/>
          <w:kern w:val="0"/>
          <w:szCs w:val="21"/>
          <w:highlight w:val="none"/>
        </w:rPr>
        <w:t>3.3.1  在评标过程中，评标委员会可以书面形式要求投标人对所提交投标文件中不明确的内容进行书面澄清、说明或补正。评标委员会不接受投标人主动提出的澄清、说明或补正。</w:t>
      </w:r>
    </w:p>
    <w:p w14:paraId="7F0341FA">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3.3.2  澄清、说明或补正不得超出投标文件的范围且不得改变投标文件的实质性内容，并构成投标文件的组成部分。</w:t>
      </w:r>
    </w:p>
    <w:p w14:paraId="7F0341FB">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3.3.3  评标委员会对投标人提交的澄清、说明或补正有疑问的，可以要求投标人进一步澄清、说明或补正，直至满足评标委员会的要求。</w:t>
      </w:r>
      <w:bookmarkEnd w:id="588"/>
    </w:p>
    <w:p w14:paraId="7F0341FC">
      <w:pPr>
        <w:pStyle w:val="5"/>
        <w:snapToGrid w:val="0"/>
        <w:spacing w:before="0" w:after="0" w:line="360" w:lineRule="auto"/>
        <w:rPr>
          <w:rFonts w:hint="eastAsia" w:ascii="宋体" w:hAnsi="宋体" w:cs="宋体"/>
          <w:b w:val="0"/>
          <w:bCs/>
          <w:snapToGrid w:val="0"/>
          <w:color w:val="auto"/>
          <w:sz w:val="24"/>
          <w:szCs w:val="24"/>
          <w:highlight w:val="none"/>
        </w:rPr>
      </w:pPr>
      <w:bookmarkStart w:id="589" w:name="_Toc287620759"/>
      <w:bookmarkStart w:id="590" w:name="_Toc11083"/>
      <w:bookmarkStart w:id="591" w:name="_Toc277082626"/>
      <w:bookmarkStart w:id="592" w:name="_Toc23781"/>
      <w:bookmarkStart w:id="593" w:name="_Toc224103392"/>
      <w:bookmarkStart w:id="594" w:name="_Toc200513206"/>
      <w:bookmarkStart w:id="595" w:name="_Toc509218784"/>
      <w:bookmarkStart w:id="596" w:name="_Toc287607820"/>
      <w:bookmarkStart w:id="597" w:name="_Toc430530508"/>
      <w:r>
        <w:rPr>
          <w:rFonts w:hint="eastAsia" w:ascii="宋体" w:hAnsi="宋体" w:cs="宋体"/>
          <w:b w:val="0"/>
          <w:bCs/>
          <w:snapToGrid w:val="0"/>
          <w:color w:val="auto"/>
          <w:sz w:val="24"/>
          <w:szCs w:val="24"/>
          <w:highlight w:val="none"/>
        </w:rPr>
        <w:t>3.4  评标结果</w:t>
      </w:r>
      <w:bookmarkEnd w:id="589"/>
      <w:bookmarkEnd w:id="590"/>
      <w:bookmarkEnd w:id="591"/>
      <w:bookmarkEnd w:id="592"/>
      <w:bookmarkEnd w:id="593"/>
      <w:bookmarkEnd w:id="594"/>
      <w:bookmarkEnd w:id="595"/>
      <w:bookmarkEnd w:id="596"/>
      <w:bookmarkEnd w:id="597"/>
    </w:p>
    <w:p w14:paraId="7F0341FD">
      <w:pPr>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w:t>
      </w:r>
      <w:r>
        <w:rPr>
          <w:rFonts w:hint="eastAsia" w:ascii="宋体" w:hAnsi="宋体" w:cs="宋体"/>
          <w:b w:val="0"/>
          <w:bCs/>
          <w:color w:val="auto"/>
          <w:spacing w:val="-1"/>
          <w:kern w:val="0"/>
          <w:szCs w:val="21"/>
          <w:highlight w:val="none"/>
        </w:rPr>
        <w:t>4</w:t>
      </w:r>
      <w:r>
        <w:rPr>
          <w:rFonts w:hint="eastAsia" w:ascii="宋体" w:hAnsi="宋体" w:cs="宋体"/>
          <w:b w:val="0"/>
          <w:bCs/>
          <w:color w:val="auto"/>
          <w:kern w:val="0"/>
          <w:szCs w:val="21"/>
          <w:highlight w:val="none"/>
        </w:rPr>
        <w:t xml:space="preserve">.1 </w:t>
      </w:r>
      <w:r>
        <w:rPr>
          <w:rFonts w:hint="eastAsia" w:ascii="宋体" w:hAnsi="宋体" w:cs="宋体"/>
          <w:b w:val="0"/>
          <w:bCs/>
          <w:color w:val="auto"/>
          <w:spacing w:val="1"/>
          <w:kern w:val="0"/>
          <w:szCs w:val="21"/>
          <w:highlight w:val="none"/>
        </w:rPr>
        <w:t xml:space="preserve"> </w:t>
      </w:r>
      <w:r>
        <w:rPr>
          <w:rFonts w:hint="eastAsia" w:ascii="宋体" w:hAnsi="宋体" w:cs="宋体"/>
          <w:b w:val="0"/>
          <w:bCs/>
          <w:color w:val="auto"/>
          <w:kern w:val="0"/>
          <w:szCs w:val="21"/>
          <w:highlight w:val="none"/>
        </w:rPr>
        <w:t>除第二章“投标</w:t>
      </w:r>
      <w:r>
        <w:rPr>
          <w:rFonts w:hint="eastAsia" w:ascii="宋体" w:hAnsi="宋体" w:cs="宋体"/>
          <w:b w:val="0"/>
          <w:bCs/>
          <w:color w:val="auto"/>
          <w:spacing w:val="1"/>
          <w:kern w:val="0"/>
          <w:szCs w:val="21"/>
          <w:highlight w:val="none"/>
        </w:rPr>
        <w:t>人</w:t>
      </w:r>
      <w:r>
        <w:rPr>
          <w:rFonts w:hint="eastAsia" w:ascii="宋体" w:hAnsi="宋体" w:cs="宋体"/>
          <w:b w:val="0"/>
          <w:bCs/>
          <w:color w:val="auto"/>
          <w:kern w:val="0"/>
          <w:szCs w:val="21"/>
          <w:highlight w:val="none"/>
        </w:rPr>
        <w:t>须知”前</w:t>
      </w:r>
      <w:r>
        <w:rPr>
          <w:rFonts w:hint="eastAsia" w:ascii="宋体" w:hAnsi="宋体" w:cs="宋体"/>
          <w:b w:val="0"/>
          <w:bCs/>
          <w:color w:val="auto"/>
          <w:spacing w:val="1"/>
          <w:kern w:val="0"/>
          <w:szCs w:val="21"/>
          <w:highlight w:val="none"/>
        </w:rPr>
        <w:t>附</w:t>
      </w:r>
      <w:r>
        <w:rPr>
          <w:rFonts w:hint="eastAsia" w:ascii="宋体" w:hAnsi="宋体" w:cs="宋体"/>
          <w:b w:val="0"/>
          <w:bCs/>
          <w:color w:val="auto"/>
          <w:kern w:val="0"/>
          <w:szCs w:val="21"/>
          <w:highlight w:val="none"/>
        </w:rPr>
        <w:t>表授权直</w:t>
      </w:r>
      <w:r>
        <w:rPr>
          <w:rFonts w:hint="eastAsia" w:ascii="宋体" w:hAnsi="宋体" w:cs="宋体"/>
          <w:b w:val="0"/>
          <w:bCs/>
          <w:color w:val="auto"/>
          <w:spacing w:val="1"/>
          <w:kern w:val="0"/>
          <w:szCs w:val="21"/>
          <w:highlight w:val="none"/>
        </w:rPr>
        <w:t>接</w:t>
      </w:r>
      <w:r>
        <w:rPr>
          <w:rFonts w:hint="eastAsia" w:ascii="宋体" w:hAnsi="宋体" w:cs="宋体"/>
          <w:b w:val="0"/>
          <w:bCs/>
          <w:color w:val="auto"/>
          <w:kern w:val="0"/>
          <w:szCs w:val="21"/>
          <w:highlight w:val="none"/>
        </w:rPr>
        <w:t>确定中标</w:t>
      </w:r>
      <w:r>
        <w:rPr>
          <w:rFonts w:hint="eastAsia" w:ascii="宋体" w:hAnsi="宋体" w:cs="宋体"/>
          <w:b w:val="0"/>
          <w:bCs/>
          <w:color w:val="auto"/>
          <w:spacing w:val="1"/>
          <w:kern w:val="0"/>
          <w:szCs w:val="21"/>
          <w:highlight w:val="none"/>
        </w:rPr>
        <w:t>人</w:t>
      </w:r>
      <w:r>
        <w:rPr>
          <w:rFonts w:hint="eastAsia" w:ascii="宋体" w:hAnsi="宋体" w:cs="宋体"/>
          <w:b w:val="0"/>
          <w:bCs/>
          <w:color w:val="auto"/>
          <w:kern w:val="0"/>
          <w:szCs w:val="21"/>
          <w:highlight w:val="none"/>
        </w:rPr>
        <w:t>外，评标</w:t>
      </w:r>
      <w:r>
        <w:rPr>
          <w:rFonts w:hint="eastAsia" w:ascii="宋体" w:hAnsi="宋体" w:cs="宋体"/>
          <w:b w:val="0"/>
          <w:bCs/>
          <w:color w:val="auto"/>
          <w:spacing w:val="1"/>
          <w:kern w:val="0"/>
          <w:szCs w:val="21"/>
          <w:highlight w:val="none"/>
        </w:rPr>
        <w:t>委</w:t>
      </w:r>
      <w:r>
        <w:rPr>
          <w:rFonts w:hint="eastAsia" w:ascii="宋体" w:hAnsi="宋体" w:cs="宋体"/>
          <w:b w:val="0"/>
          <w:bCs/>
          <w:color w:val="auto"/>
          <w:kern w:val="0"/>
          <w:szCs w:val="21"/>
          <w:highlight w:val="none"/>
        </w:rPr>
        <w:t>员会按照</w:t>
      </w:r>
      <w:r>
        <w:rPr>
          <w:rFonts w:hint="eastAsia" w:ascii="宋体" w:hAnsi="宋体" w:cs="宋体"/>
          <w:b w:val="0"/>
          <w:bCs/>
          <w:color w:val="auto"/>
          <w:spacing w:val="1"/>
          <w:kern w:val="0"/>
          <w:szCs w:val="21"/>
          <w:highlight w:val="none"/>
        </w:rPr>
        <w:t>得分</w:t>
      </w:r>
      <w:r>
        <w:rPr>
          <w:rFonts w:hint="eastAsia" w:ascii="宋体" w:hAnsi="宋体" w:cs="宋体"/>
          <w:b w:val="0"/>
          <w:bCs/>
          <w:color w:val="auto"/>
          <w:kern w:val="0"/>
          <w:szCs w:val="21"/>
          <w:highlight w:val="none"/>
        </w:rPr>
        <w:t>由高到低的顺序推荐中标候选人。</w:t>
      </w:r>
    </w:p>
    <w:p w14:paraId="7F0341FE">
      <w:pPr>
        <w:autoSpaceDE w:val="0"/>
        <w:autoSpaceDN w:val="0"/>
        <w:adjustRightInd w:val="0"/>
        <w:snapToGrid w:val="0"/>
        <w:spacing w:line="360" w:lineRule="auto"/>
        <w:ind w:firstLine="424" w:firstLineChars="200"/>
        <w:rPr>
          <w:rFonts w:hint="eastAsia" w:ascii="宋体" w:hAnsi="宋体" w:cs="宋体"/>
          <w:b w:val="0"/>
          <w:bCs/>
          <w:color w:val="auto"/>
          <w:kern w:val="0"/>
          <w:szCs w:val="21"/>
          <w:highlight w:val="none"/>
        </w:rPr>
      </w:pPr>
      <w:r>
        <w:rPr>
          <w:rFonts w:hint="eastAsia" w:ascii="宋体" w:hAnsi="宋体" w:cs="宋体"/>
          <w:b w:val="0"/>
          <w:bCs/>
          <w:color w:val="auto"/>
          <w:spacing w:val="1"/>
          <w:kern w:val="0"/>
          <w:szCs w:val="21"/>
          <w:highlight w:val="none"/>
        </w:rPr>
        <w:t>3</w:t>
      </w:r>
      <w:r>
        <w:rPr>
          <w:rFonts w:hint="eastAsia" w:ascii="宋体" w:hAnsi="宋体" w:cs="宋体"/>
          <w:b w:val="0"/>
          <w:bCs/>
          <w:color w:val="auto"/>
          <w:kern w:val="0"/>
          <w:szCs w:val="21"/>
          <w:highlight w:val="none"/>
        </w:rPr>
        <w:t>.4.2  评标委员会完成评标后，应当向招标人提交书面评标报告和中标候选人名单。</w:t>
      </w:r>
    </w:p>
    <w:p w14:paraId="7F0341FF">
      <w:pPr>
        <w:autoSpaceDE w:val="0"/>
        <w:autoSpaceDN w:val="0"/>
        <w:adjustRightInd w:val="0"/>
        <w:snapToGrid w:val="0"/>
        <w:spacing w:line="360" w:lineRule="auto"/>
        <w:ind w:firstLine="420" w:firstLineChars="200"/>
        <w:rPr>
          <w:rFonts w:ascii="宋体" w:hAnsi="宋体" w:cs="宋体"/>
          <w:b w:val="0"/>
          <w:bCs/>
          <w:color w:val="auto"/>
          <w:highlight w:val="none"/>
        </w:rPr>
      </w:pPr>
      <w:r>
        <w:rPr>
          <w:rFonts w:hint="eastAsia" w:ascii="宋体" w:hAnsi="宋体" w:cs="宋体"/>
          <w:b w:val="0"/>
          <w:bCs/>
          <w:color w:val="auto"/>
          <w:kern w:val="0"/>
          <w:szCs w:val="21"/>
          <w:highlight w:val="none"/>
        </w:rPr>
        <w:t>3.4.3 有效投标人不足三个的，评标委员会应当对有效投标人是否仍具有竞争性进行论证，并在评标报告中记载论证过程和结果。</w:t>
      </w:r>
    </w:p>
    <w:p w14:paraId="7F034200">
      <w:pPr>
        <w:spacing w:line="360" w:lineRule="auto"/>
        <w:rPr>
          <w:rFonts w:hint="eastAsia" w:ascii="宋体" w:hAnsi="宋体" w:cs="宋体"/>
          <w:b w:val="0"/>
          <w:bCs/>
          <w:color w:val="auto"/>
          <w:szCs w:val="20"/>
          <w:highlight w:val="none"/>
        </w:rPr>
      </w:pPr>
      <w:r>
        <w:rPr>
          <w:rFonts w:hint="eastAsia" w:ascii="宋体" w:hAnsi="宋体" w:cs="宋体"/>
          <w:b w:val="0"/>
          <w:bCs/>
          <w:color w:val="auto"/>
          <w:kern w:val="0"/>
          <w:sz w:val="20"/>
          <w:szCs w:val="20"/>
          <w:highlight w:val="none"/>
        </w:rPr>
        <w:br w:type="page"/>
      </w:r>
    </w:p>
    <w:p w14:paraId="7F034201">
      <w:pPr>
        <w:pStyle w:val="33"/>
        <w:spacing w:line="360" w:lineRule="auto"/>
        <w:rPr>
          <w:rFonts w:hint="eastAsia" w:ascii="宋体" w:hAnsi="宋体" w:cs="宋体"/>
          <w:b w:val="0"/>
          <w:bCs/>
          <w:color w:val="auto"/>
          <w:sz w:val="28"/>
          <w:szCs w:val="28"/>
          <w:highlight w:val="none"/>
          <w:u w:val="none"/>
          <w:lang w:eastAsia="zh-CN"/>
        </w:rPr>
      </w:pPr>
      <w:bookmarkStart w:id="598" w:name="招标文件04章合同条款及格式"/>
      <w:bookmarkEnd w:id="598"/>
      <w:bookmarkStart w:id="599" w:name="招标文件03章02评标办法综合评估法02附件02"/>
      <w:bookmarkEnd w:id="599"/>
      <w:bookmarkStart w:id="600" w:name="_Toc230410480"/>
      <w:bookmarkStart w:id="601" w:name="_Toc277082627"/>
      <w:r>
        <w:rPr>
          <w:rFonts w:hint="eastAsia" w:ascii="宋体" w:hAnsi="宋体" w:cs="宋体"/>
          <w:b w:val="0"/>
          <w:bCs/>
          <w:color w:val="auto"/>
          <w:sz w:val="28"/>
          <w:szCs w:val="28"/>
          <w:highlight w:val="none"/>
          <w:u w:val="none"/>
          <w:lang w:eastAsia="zh-CN"/>
        </w:rPr>
        <w:t>附件A：综合评估法否决投标情况一览表</w:t>
      </w:r>
      <w:bookmarkEnd w:id="600"/>
    </w:p>
    <w:bookmarkEnd w:id="601"/>
    <w:p w14:paraId="7F034202">
      <w:pPr>
        <w:pStyle w:val="33"/>
        <w:spacing w:line="360" w:lineRule="auto"/>
        <w:ind w:firstLine="420" w:firstLineChars="200"/>
        <w:jc w:val="both"/>
        <w:rPr>
          <w:rFonts w:hint="eastAsia" w:ascii="宋体" w:hAnsi="宋体" w:cs="宋体"/>
          <w:b w:val="0"/>
          <w:bCs/>
          <w:color w:val="auto"/>
          <w:sz w:val="21"/>
          <w:szCs w:val="21"/>
          <w:highlight w:val="none"/>
          <w:u w:val="none"/>
          <w:lang w:eastAsia="zh-CN"/>
        </w:rPr>
      </w:pPr>
      <w:r>
        <w:rPr>
          <w:rFonts w:hint="eastAsia" w:ascii="宋体" w:hAnsi="宋体" w:cs="宋体"/>
          <w:b w:val="0"/>
          <w:bCs/>
          <w:color w:val="auto"/>
          <w:sz w:val="21"/>
          <w:szCs w:val="21"/>
          <w:highlight w:val="none"/>
          <w:u w:val="none"/>
          <w:lang w:eastAsia="zh-CN"/>
        </w:rPr>
        <w:t>投标文件存在本一览表下列情形之一的，投标文件视为重大偏差并作否决投标处理，否则，评标委员会不得视为重大偏差而否决投标人的投标文件。</w:t>
      </w:r>
    </w:p>
    <w:tbl>
      <w:tblPr>
        <w:tblStyle w:val="46"/>
        <w:tblW w:w="945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44"/>
        <w:gridCol w:w="1550"/>
        <w:gridCol w:w="6861"/>
      </w:tblGrid>
      <w:tr w14:paraId="7F03420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Align w:val="center"/>
          </w:tcPr>
          <w:p w14:paraId="7F034203">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章节号</w:t>
            </w:r>
          </w:p>
        </w:tc>
        <w:tc>
          <w:tcPr>
            <w:tcW w:w="1550" w:type="dxa"/>
            <w:vAlign w:val="center"/>
          </w:tcPr>
          <w:p w14:paraId="7F034204">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条款名称</w:t>
            </w:r>
          </w:p>
        </w:tc>
        <w:tc>
          <w:tcPr>
            <w:tcW w:w="6861" w:type="dxa"/>
            <w:vAlign w:val="center"/>
          </w:tcPr>
          <w:p w14:paraId="7F034205">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否决投标条件</w:t>
            </w:r>
          </w:p>
        </w:tc>
      </w:tr>
      <w:tr w14:paraId="7F03420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44" w:type="dxa"/>
            <w:vMerge w:val="restart"/>
            <w:vAlign w:val="center"/>
          </w:tcPr>
          <w:p w14:paraId="7F034207">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第三章</w:t>
            </w:r>
          </w:p>
        </w:tc>
        <w:tc>
          <w:tcPr>
            <w:tcW w:w="1550" w:type="dxa"/>
            <w:vMerge w:val="restart"/>
            <w:vAlign w:val="center"/>
          </w:tcPr>
          <w:p w14:paraId="7F034208">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资格评审</w:t>
            </w:r>
          </w:p>
        </w:tc>
        <w:tc>
          <w:tcPr>
            <w:tcW w:w="6861" w:type="dxa"/>
            <w:vAlign w:val="center"/>
          </w:tcPr>
          <w:p w14:paraId="7F034209">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A-1投标人的独立法人资格、资质条件（如有）不满足投标人须知前附表1.4.1项的要求。</w:t>
            </w:r>
          </w:p>
        </w:tc>
      </w:tr>
      <w:tr w14:paraId="7F0342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44" w:type="dxa"/>
            <w:vMerge w:val="continue"/>
            <w:vAlign w:val="center"/>
          </w:tcPr>
          <w:p w14:paraId="7F03420B">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0C">
            <w:pPr>
              <w:spacing w:line="400" w:lineRule="exact"/>
              <w:jc w:val="center"/>
              <w:rPr>
                <w:rFonts w:hint="eastAsia" w:ascii="宋体" w:hAnsi="宋体" w:cs="宋体"/>
                <w:b w:val="0"/>
                <w:bCs/>
                <w:color w:val="auto"/>
                <w:szCs w:val="21"/>
                <w:highlight w:val="none"/>
              </w:rPr>
            </w:pPr>
          </w:p>
        </w:tc>
        <w:tc>
          <w:tcPr>
            <w:tcW w:w="6861" w:type="dxa"/>
            <w:vAlign w:val="center"/>
          </w:tcPr>
          <w:p w14:paraId="7F03420D">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A-2投标人的财务不满足投标人须知前附表第1.4.1项的要求（如有）。</w:t>
            </w:r>
          </w:p>
        </w:tc>
      </w:tr>
      <w:tr w14:paraId="7F0342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44" w:type="dxa"/>
            <w:vMerge w:val="continue"/>
            <w:vAlign w:val="center"/>
          </w:tcPr>
          <w:p w14:paraId="7F03420F">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10">
            <w:pPr>
              <w:spacing w:line="400" w:lineRule="exact"/>
              <w:jc w:val="center"/>
              <w:rPr>
                <w:rFonts w:hint="eastAsia" w:ascii="宋体" w:hAnsi="宋体" w:cs="宋体"/>
                <w:b w:val="0"/>
                <w:bCs/>
                <w:color w:val="auto"/>
                <w:szCs w:val="21"/>
                <w:highlight w:val="none"/>
              </w:rPr>
            </w:pPr>
          </w:p>
        </w:tc>
        <w:tc>
          <w:tcPr>
            <w:tcW w:w="6861" w:type="dxa"/>
            <w:vAlign w:val="center"/>
          </w:tcPr>
          <w:p w14:paraId="7F034211">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A-3投标人的业绩不满足投标人须知前附表第1.4.1项的要求（如有）。</w:t>
            </w:r>
          </w:p>
        </w:tc>
      </w:tr>
      <w:tr w14:paraId="7F03421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44" w:type="dxa"/>
            <w:vMerge w:val="continue"/>
            <w:vAlign w:val="center"/>
          </w:tcPr>
          <w:p w14:paraId="7F034213">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14">
            <w:pPr>
              <w:spacing w:line="400" w:lineRule="exact"/>
              <w:jc w:val="center"/>
              <w:rPr>
                <w:rFonts w:hint="eastAsia" w:ascii="宋体" w:hAnsi="宋体" w:cs="宋体"/>
                <w:b w:val="0"/>
                <w:bCs/>
                <w:color w:val="auto"/>
                <w:szCs w:val="21"/>
                <w:highlight w:val="none"/>
              </w:rPr>
            </w:pPr>
          </w:p>
        </w:tc>
        <w:tc>
          <w:tcPr>
            <w:tcW w:w="6861" w:type="dxa"/>
            <w:vAlign w:val="center"/>
          </w:tcPr>
          <w:p w14:paraId="7F034215">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A-4投标人的投标截止日投标资格情况不满足投标人须知前附表第1.4.1项的要求。</w:t>
            </w:r>
          </w:p>
        </w:tc>
      </w:tr>
      <w:tr w14:paraId="7F0342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44" w:type="dxa"/>
            <w:vMerge w:val="continue"/>
            <w:vAlign w:val="center"/>
          </w:tcPr>
          <w:p w14:paraId="7F034217">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18">
            <w:pPr>
              <w:spacing w:line="400" w:lineRule="exact"/>
              <w:jc w:val="center"/>
              <w:rPr>
                <w:rFonts w:hint="eastAsia" w:ascii="宋体" w:hAnsi="宋体" w:cs="宋体"/>
                <w:b w:val="0"/>
                <w:bCs/>
                <w:color w:val="auto"/>
                <w:szCs w:val="21"/>
                <w:highlight w:val="none"/>
              </w:rPr>
            </w:pPr>
          </w:p>
        </w:tc>
        <w:tc>
          <w:tcPr>
            <w:tcW w:w="6861" w:type="dxa"/>
            <w:vAlign w:val="center"/>
          </w:tcPr>
          <w:p w14:paraId="7F034219">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A-5投标人的其他要求不满足投标人须知前附表1.4.1项的要求。</w:t>
            </w:r>
          </w:p>
        </w:tc>
      </w:tr>
      <w:tr w14:paraId="7F034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1B">
            <w:pPr>
              <w:spacing w:line="400" w:lineRule="exact"/>
              <w:jc w:val="center"/>
              <w:rPr>
                <w:rFonts w:hint="eastAsia" w:ascii="宋体" w:hAnsi="宋体" w:cs="宋体"/>
                <w:b w:val="0"/>
                <w:bCs/>
                <w:color w:val="auto"/>
                <w:szCs w:val="21"/>
                <w:highlight w:val="none"/>
              </w:rPr>
            </w:pPr>
          </w:p>
        </w:tc>
        <w:tc>
          <w:tcPr>
            <w:tcW w:w="1550" w:type="dxa"/>
            <w:vMerge w:val="restart"/>
            <w:vAlign w:val="center"/>
          </w:tcPr>
          <w:p w14:paraId="7F03421C">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形式评审</w:t>
            </w:r>
          </w:p>
        </w:tc>
        <w:tc>
          <w:tcPr>
            <w:tcW w:w="6861" w:type="dxa"/>
          </w:tcPr>
          <w:p w14:paraId="7F03421D">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A-6投标人名称与营业执照、资质证书（如有）不一致。</w:t>
            </w:r>
          </w:p>
        </w:tc>
      </w:tr>
      <w:tr w14:paraId="7F03422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1F">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20">
            <w:pPr>
              <w:spacing w:line="400" w:lineRule="exact"/>
              <w:jc w:val="center"/>
              <w:rPr>
                <w:rFonts w:hint="eastAsia" w:ascii="宋体" w:hAnsi="宋体" w:cs="宋体"/>
                <w:b w:val="0"/>
                <w:bCs/>
                <w:color w:val="auto"/>
                <w:szCs w:val="21"/>
                <w:highlight w:val="none"/>
              </w:rPr>
            </w:pPr>
          </w:p>
        </w:tc>
        <w:tc>
          <w:tcPr>
            <w:tcW w:w="6861" w:type="dxa"/>
          </w:tcPr>
          <w:p w14:paraId="7F034221">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A-7投标文件格式不符合第二章“投标人须知”第3.7款的要求。</w:t>
            </w:r>
          </w:p>
          <w:p w14:paraId="7F034222">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编制投标文件时对第六章“投标文件格式”的相应要素作实质性修改。</w:t>
            </w:r>
          </w:p>
        </w:tc>
      </w:tr>
      <w:tr w14:paraId="7F03422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24">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25">
            <w:pPr>
              <w:spacing w:line="400" w:lineRule="exact"/>
              <w:jc w:val="center"/>
              <w:rPr>
                <w:rFonts w:hint="eastAsia" w:ascii="宋体" w:hAnsi="宋体" w:cs="宋体"/>
                <w:b w:val="0"/>
                <w:bCs/>
                <w:color w:val="auto"/>
                <w:szCs w:val="21"/>
                <w:highlight w:val="none"/>
              </w:rPr>
            </w:pPr>
          </w:p>
        </w:tc>
        <w:tc>
          <w:tcPr>
            <w:tcW w:w="6861" w:type="dxa"/>
          </w:tcPr>
          <w:p w14:paraId="7F034226">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A-8投标文件份数符合第二章“投标人须知”第3.7.4项的规定，</w:t>
            </w:r>
            <w:r>
              <w:rPr>
                <w:rFonts w:hint="eastAsia" w:ascii="宋体" w:hAnsi="宋体" w:cs="宋体"/>
                <w:b w:val="0"/>
                <w:bCs/>
                <w:color w:val="auto"/>
                <w:kern w:val="0"/>
                <w:szCs w:val="21"/>
                <w:highlight w:val="none"/>
              </w:rPr>
              <w:t>否则由评标委员会作否决投标处理。</w:t>
            </w:r>
          </w:p>
        </w:tc>
      </w:tr>
      <w:tr w14:paraId="7F03422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28">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29">
            <w:pPr>
              <w:spacing w:line="400" w:lineRule="exact"/>
              <w:jc w:val="center"/>
              <w:rPr>
                <w:rFonts w:hint="eastAsia" w:ascii="宋体" w:hAnsi="宋体" w:cs="宋体"/>
                <w:b w:val="0"/>
                <w:bCs/>
                <w:color w:val="auto"/>
                <w:szCs w:val="21"/>
                <w:highlight w:val="none"/>
              </w:rPr>
            </w:pPr>
          </w:p>
        </w:tc>
        <w:tc>
          <w:tcPr>
            <w:tcW w:w="6861" w:type="dxa"/>
          </w:tcPr>
          <w:p w14:paraId="7F03422A">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A-9</w:t>
            </w:r>
            <w:r>
              <w:rPr>
                <w:rFonts w:hint="eastAsia" w:ascii="宋体" w:hAnsi="宋体" w:cs="宋体"/>
                <w:b w:val="0"/>
                <w:bCs/>
                <w:color w:val="auto"/>
                <w:kern w:val="0"/>
                <w:highlight w:val="none"/>
              </w:rPr>
              <w:t>第六章 投标文件格式要求法定代表人或其委托代理人签名（或盖章）的须齐全</w:t>
            </w:r>
            <w:r>
              <w:rPr>
                <w:rFonts w:hint="eastAsia" w:ascii="宋体" w:hAnsi="宋体" w:cs="宋体"/>
                <w:b w:val="0"/>
                <w:bCs/>
                <w:color w:val="auto"/>
                <w:szCs w:val="21"/>
                <w:highlight w:val="none"/>
              </w:rPr>
              <w:t>，否则由评标委员会作否决投标处理。</w:t>
            </w:r>
          </w:p>
        </w:tc>
      </w:tr>
      <w:tr w14:paraId="7F03422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2C">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2D">
            <w:pPr>
              <w:spacing w:line="400" w:lineRule="exact"/>
              <w:jc w:val="center"/>
              <w:rPr>
                <w:rFonts w:hint="eastAsia" w:ascii="宋体" w:hAnsi="宋体" w:cs="宋体"/>
                <w:b w:val="0"/>
                <w:bCs/>
                <w:color w:val="auto"/>
                <w:szCs w:val="21"/>
                <w:highlight w:val="none"/>
              </w:rPr>
            </w:pPr>
          </w:p>
        </w:tc>
        <w:tc>
          <w:tcPr>
            <w:tcW w:w="6861" w:type="dxa"/>
          </w:tcPr>
          <w:p w14:paraId="7F03422E">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A-10投标人法定代表人的委托代理人无法定代表人签署的授权委托书和投标人为其缴纳的养老保险证明材料。</w:t>
            </w:r>
          </w:p>
        </w:tc>
      </w:tr>
      <w:tr w14:paraId="7F03423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30">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31">
            <w:pPr>
              <w:spacing w:line="400" w:lineRule="exact"/>
              <w:jc w:val="center"/>
              <w:rPr>
                <w:rFonts w:hint="eastAsia" w:ascii="宋体" w:hAnsi="宋体" w:cs="宋体"/>
                <w:b w:val="0"/>
                <w:bCs/>
                <w:color w:val="auto"/>
                <w:szCs w:val="21"/>
                <w:highlight w:val="none"/>
              </w:rPr>
            </w:pPr>
          </w:p>
        </w:tc>
        <w:tc>
          <w:tcPr>
            <w:tcW w:w="6861" w:type="dxa"/>
          </w:tcPr>
          <w:p w14:paraId="7F034232">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A-11招标文件未明确允许提交备选投标方案，投标人提交备选投标方案。</w:t>
            </w:r>
          </w:p>
        </w:tc>
      </w:tr>
      <w:tr w14:paraId="7F03423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34">
            <w:pPr>
              <w:spacing w:line="400" w:lineRule="exact"/>
              <w:jc w:val="center"/>
              <w:rPr>
                <w:rFonts w:hint="eastAsia" w:ascii="宋体" w:hAnsi="宋体" w:cs="宋体"/>
                <w:b w:val="0"/>
                <w:bCs/>
                <w:color w:val="auto"/>
                <w:szCs w:val="21"/>
                <w:highlight w:val="none"/>
              </w:rPr>
            </w:pPr>
          </w:p>
        </w:tc>
        <w:tc>
          <w:tcPr>
            <w:tcW w:w="1550" w:type="dxa"/>
            <w:vMerge w:val="restart"/>
            <w:vAlign w:val="center"/>
          </w:tcPr>
          <w:p w14:paraId="7F034235">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响应性评审</w:t>
            </w:r>
          </w:p>
        </w:tc>
        <w:tc>
          <w:tcPr>
            <w:tcW w:w="6861" w:type="dxa"/>
            <w:vAlign w:val="center"/>
          </w:tcPr>
          <w:p w14:paraId="7F034236">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A-12投标内容不符合第二章“投标人须知”第1.3.1项规定。</w:t>
            </w:r>
          </w:p>
        </w:tc>
      </w:tr>
      <w:tr w14:paraId="7F03423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38">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39">
            <w:pPr>
              <w:spacing w:line="400" w:lineRule="exact"/>
              <w:jc w:val="center"/>
              <w:rPr>
                <w:rFonts w:hint="eastAsia" w:ascii="宋体" w:hAnsi="宋体" w:cs="宋体"/>
                <w:b w:val="0"/>
                <w:bCs/>
                <w:color w:val="auto"/>
                <w:szCs w:val="21"/>
                <w:highlight w:val="none"/>
              </w:rPr>
            </w:pPr>
          </w:p>
        </w:tc>
        <w:tc>
          <w:tcPr>
            <w:tcW w:w="6861" w:type="dxa"/>
            <w:vAlign w:val="center"/>
          </w:tcPr>
          <w:p w14:paraId="7F03423A">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A-13投标保证金不</w:t>
            </w:r>
            <w:r>
              <w:rPr>
                <w:rFonts w:hint="eastAsia" w:ascii="宋体" w:hAnsi="宋体" w:cs="宋体"/>
                <w:b w:val="0"/>
                <w:bCs/>
                <w:color w:val="auto"/>
                <w:kern w:val="0"/>
                <w:highlight w:val="none"/>
              </w:rPr>
              <w:t>符合第二章“投标人须知前附表”第3.4.1项规定</w:t>
            </w:r>
            <w:r>
              <w:rPr>
                <w:rFonts w:hint="eastAsia" w:ascii="宋体" w:hAnsi="宋体" w:cs="宋体"/>
                <w:b w:val="0"/>
                <w:bCs/>
                <w:color w:val="auto"/>
                <w:szCs w:val="21"/>
                <w:highlight w:val="none"/>
              </w:rPr>
              <w:t>。</w:t>
            </w:r>
          </w:p>
        </w:tc>
      </w:tr>
      <w:tr w14:paraId="7F03423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3C">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3D">
            <w:pPr>
              <w:spacing w:line="400" w:lineRule="exact"/>
              <w:jc w:val="center"/>
              <w:rPr>
                <w:rFonts w:hint="eastAsia" w:ascii="宋体" w:hAnsi="宋体" w:cs="宋体"/>
                <w:b w:val="0"/>
                <w:bCs/>
                <w:color w:val="auto"/>
                <w:szCs w:val="21"/>
                <w:highlight w:val="none"/>
              </w:rPr>
            </w:pPr>
          </w:p>
        </w:tc>
        <w:tc>
          <w:tcPr>
            <w:tcW w:w="6861" w:type="dxa"/>
            <w:vAlign w:val="center"/>
          </w:tcPr>
          <w:p w14:paraId="7F03423E">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A-14不</w:t>
            </w:r>
            <w:r>
              <w:rPr>
                <w:rFonts w:hint="eastAsia" w:ascii="宋体" w:hAnsi="宋体" w:cs="宋体"/>
                <w:b w:val="0"/>
                <w:bCs/>
                <w:color w:val="auto"/>
                <w:kern w:val="0"/>
                <w:highlight w:val="none"/>
              </w:rPr>
              <w:t>符合</w:t>
            </w:r>
            <w:r>
              <w:rPr>
                <w:rFonts w:hint="eastAsia" w:ascii="宋体" w:hAnsi="宋体" w:cs="宋体"/>
                <w:b w:val="0"/>
                <w:bCs/>
                <w:color w:val="auto"/>
                <w:szCs w:val="21"/>
                <w:highlight w:val="none"/>
              </w:rPr>
              <w:t>第四章“合同条款及格式”</w:t>
            </w:r>
            <w:r>
              <w:rPr>
                <w:rFonts w:hint="eastAsia" w:ascii="宋体" w:hAnsi="宋体" w:cs="宋体"/>
                <w:b w:val="0"/>
                <w:bCs/>
                <w:color w:val="auto"/>
                <w:kern w:val="0"/>
                <w:highlight w:val="none"/>
              </w:rPr>
              <w:t>中的实质性要求和条件</w:t>
            </w:r>
            <w:r>
              <w:rPr>
                <w:rFonts w:hint="eastAsia" w:ascii="宋体" w:hAnsi="宋体" w:cs="宋体"/>
                <w:b w:val="0"/>
                <w:bCs/>
                <w:color w:val="auto"/>
                <w:szCs w:val="21"/>
                <w:highlight w:val="none"/>
              </w:rPr>
              <w:t>，投标文件附有招标人不能接受的条件。（由投标人承诺，承诺书格式详见第六章投标文件格式。）</w:t>
            </w:r>
          </w:p>
        </w:tc>
      </w:tr>
      <w:tr w14:paraId="7F034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40">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41">
            <w:pPr>
              <w:spacing w:line="400" w:lineRule="exact"/>
              <w:jc w:val="center"/>
              <w:rPr>
                <w:rFonts w:hint="eastAsia" w:ascii="宋体" w:hAnsi="宋体" w:cs="宋体"/>
                <w:b w:val="0"/>
                <w:bCs/>
                <w:color w:val="auto"/>
                <w:szCs w:val="21"/>
                <w:highlight w:val="none"/>
              </w:rPr>
            </w:pPr>
          </w:p>
        </w:tc>
        <w:tc>
          <w:tcPr>
            <w:tcW w:w="6861" w:type="dxa"/>
            <w:vAlign w:val="center"/>
          </w:tcPr>
          <w:p w14:paraId="7F034242">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A-15 </w:t>
            </w:r>
            <w:r>
              <w:rPr>
                <w:rFonts w:hint="eastAsia" w:ascii="宋体" w:hAnsi="宋体" w:cs="宋体"/>
                <w:b w:val="0"/>
                <w:bCs/>
                <w:color w:val="auto"/>
                <w:kern w:val="0"/>
                <w:highlight w:val="none"/>
              </w:rPr>
              <w:t>质量标准和技术性能不符合第二章“投标人须知”</w:t>
            </w:r>
            <w:r>
              <w:rPr>
                <w:rFonts w:hint="eastAsia" w:ascii="宋体" w:hAnsi="宋体" w:cs="宋体"/>
                <w:b w:val="0"/>
                <w:bCs/>
                <w:color w:val="auto"/>
                <w:kern w:val="0"/>
                <w:szCs w:val="21"/>
                <w:highlight w:val="none"/>
              </w:rPr>
              <w:t>第1.3.4项</w:t>
            </w:r>
            <w:r>
              <w:rPr>
                <w:rFonts w:hint="eastAsia" w:ascii="宋体" w:hAnsi="宋体" w:cs="宋体"/>
                <w:b w:val="0"/>
                <w:bCs/>
                <w:color w:val="auto"/>
                <w:kern w:val="0"/>
                <w:highlight w:val="none"/>
              </w:rPr>
              <w:t>规定</w:t>
            </w:r>
            <w:r>
              <w:rPr>
                <w:rFonts w:hint="eastAsia" w:ascii="宋体" w:hAnsi="宋体" w:cs="宋体"/>
                <w:b w:val="0"/>
                <w:bCs/>
                <w:color w:val="auto"/>
                <w:szCs w:val="21"/>
                <w:highlight w:val="none"/>
              </w:rPr>
              <w:t>。</w:t>
            </w:r>
          </w:p>
        </w:tc>
      </w:tr>
      <w:tr w14:paraId="7F03424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44">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45">
            <w:pPr>
              <w:spacing w:line="400" w:lineRule="exact"/>
              <w:jc w:val="center"/>
              <w:rPr>
                <w:rFonts w:hint="eastAsia" w:ascii="宋体" w:hAnsi="宋体" w:cs="宋体"/>
                <w:b w:val="0"/>
                <w:bCs/>
                <w:color w:val="auto"/>
                <w:szCs w:val="21"/>
                <w:highlight w:val="none"/>
              </w:rPr>
            </w:pPr>
          </w:p>
        </w:tc>
        <w:tc>
          <w:tcPr>
            <w:tcW w:w="6861" w:type="dxa"/>
            <w:vAlign w:val="center"/>
          </w:tcPr>
          <w:p w14:paraId="7F034246">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A-16投标人有以下情形之一的：</w:t>
            </w:r>
          </w:p>
          <w:p w14:paraId="7F034247">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1.本次投标</w:t>
            </w:r>
            <w:r>
              <w:rPr>
                <w:rFonts w:hint="eastAsia" w:ascii="宋体" w:hAnsi="宋体" w:cs="宋体"/>
                <w:b w:val="0"/>
                <w:bCs/>
                <w:color w:val="auto"/>
                <w:kern w:val="0"/>
                <w:highlight w:val="none"/>
              </w:rPr>
              <w:t>存在</w:t>
            </w:r>
            <w:r>
              <w:rPr>
                <w:rFonts w:hint="eastAsia" w:ascii="宋体" w:hAnsi="宋体" w:cs="宋体"/>
                <w:b w:val="0"/>
                <w:bCs/>
                <w:color w:val="auto"/>
                <w:highlight w:val="none"/>
              </w:rPr>
              <w:t>弄虚作假</w:t>
            </w:r>
            <w:r>
              <w:rPr>
                <w:rFonts w:hint="eastAsia" w:ascii="宋体" w:hAnsi="宋体" w:cs="宋体"/>
                <w:b w:val="0"/>
                <w:bCs/>
                <w:color w:val="auto"/>
                <w:kern w:val="0"/>
                <w:highlight w:val="none"/>
              </w:rPr>
              <w:t>等其他违反招投标相关法律、法规行为</w:t>
            </w:r>
            <w:r>
              <w:rPr>
                <w:rFonts w:hint="eastAsia" w:ascii="宋体" w:hAnsi="宋体" w:cs="宋体"/>
                <w:b w:val="0"/>
                <w:bCs/>
                <w:color w:val="auto"/>
                <w:szCs w:val="21"/>
                <w:highlight w:val="none"/>
              </w:rPr>
              <w:t>；</w:t>
            </w:r>
          </w:p>
          <w:p w14:paraId="7F034248">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2.拒绝按评标委员会要求澄清、说明或补正的。</w:t>
            </w:r>
          </w:p>
        </w:tc>
      </w:tr>
      <w:tr w14:paraId="7F03424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4A">
            <w:pPr>
              <w:spacing w:line="400" w:lineRule="exact"/>
              <w:jc w:val="center"/>
              <w:rPr>
                <w:rFonts w:hint="eastAsia" w:ascii="宋体" w:hAnsi="宋体" w:cs="宋体"/>
                <w:b w:val="0"/>
                <w:bCs/>
                <w:color w:val="auto"/>
                <w:szCs w:val="21"/>
                <w:highlight w:val="none"/>
              </w:rPr>
            </w:pPr>
          </w:p>
        </w:tc>
        <w:tc>
          <w:tcPr>
            <w:tcW w:w="1550" w:type="dxa"/>
            <w:vMerge w:val="restart"/>
            <w:vAlign w:val="center"/>
          </w:tcPr>
          <w:p w14:paraId="7F03424B">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投标函部分评审</w:t>
            </w:r>
          </w:p>
        </w:tc>
        <w:tc>
          <w:tcPr>
            <w:tcW w:w="6861" w:type="dxa"/>
          </w:tcPr>
          <w:p w14:paraId="7F03424C">
            <w:pPr>
              <w:spacing w:line="400" w:lineRule="exact"/>
              <w:ind w:firstLine="420" w:firstLineChars="200"/>
              <w:rPr>
                <w:rFonts w:hint="eastAsia" w:ascii="宋体" w:hAnsi="宋体" w:cs="宋体"/>
                <w:b w:val="0"/>
                <w:bCs/>
                <w:i/>
                <w:color w:val="auto"/>
                <w:szCs w:val="21"/>
                <w:highlight w:val="none"/>
              </w:rPr>
            </w:pPr>
            <w:r>
              <w:rPr>
                <w:rFonts w:hint="eastAsia" w:ascii="宋体" w:hAnsi="宋体" w:cs="宋体"/>
                <w:b w:val="0"/>
                <w:bCs/>
                <w:color w:val="auto"/>
                <w:szCs w:val="21"/>
                <w:highlight w:val="none"/>
              </w:rPr>
              <w:t>A-17投标函格式规定签名、盖章的位置有法定代表人或其委托代理人签名（或盖章）、加盖单位法人章，否则由评标委员会作否决投标处理。</w:t>
            </w:r>
          </w:p>
        </w:tc>
      </w:tr>
      <w:tr w14:paraId="7F03425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4E">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4F">
            <w:pPr>
              <w:spacing w:line="400" w:lineRule="exact"/>
              <w:jc w:val="center"/>
              <w:rPr>
                <w:rFonts w:hint="eastAsia" w:ascii="宋体" w:hAnsi="宋体" w:cs="宋体"/>
                <w:b w:val="0"/>
                <w:bCs/>
                <w:color w:val="auto"/>
                <w:szCs w:val="21"/>
                <w:highlight w:val="none"/>
              </w:rPr>
            </w:pPr>
          </w:p>
        </w:tc>
        <w:tc>
          <w:tcPr>
            <w:tcW w:w="6861" w:type="dxa"/>
          </w:tcPr>
          <w:p w14:paraId="7F034250">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A-18</w:t>
            </w:r>
            <w:r>
              <w:rPr>
                <w:rFonts w:hint="eastAsia" w:ascii="宋体" w:hAnsi="宋体" w:cs="宋体"/>
                <w:b w:val="0"/>
                <w:bCs/>
                <w:color w:val="auto"/>
                <w:kern w:val="0"/>
                <w:highlight w:val="none"/>
              </w:rPr>
              <w:t>投标人分项报价表中的投标货物品牌与投标业绩中的货物品牌不一致</w:t>
            </w:r>
            <w:r>
              <w:rPr>
                <w:rFonts w:hint="eastAsia" w:ascii="宋体" w:hAnsi="宋体" w:cs="宋体"/>
                <w:b w:val="0"/>
                <w:bCs/>
                <w:color w:val="auto"/>
                <w:szCs w:val="21"/>
                <w:highlight w:val="none"/>
              </w:rPr>
              <w:t>。</w:t>
            </w:r>
          </w:p>
        </w:tc>
      </w:tr>
      <w:tr w14:paraId="7F03425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52">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53">
            <w:pPr>
              <w:spacing w:line="400" w:lineRule="exact"/>
              <w:jc w:val="center"/>
              <w:rPr>
                <w:rFonts w:hint="eastAsia" w:ascii="宋体" w:hAnsi="宋体" w:cs="宋体"/>
                <w:b w:val="0"/>
                <w:bCs/>
                <w:color w:val="auto"/>
                <w:szCs w:val="21"/>
                <w:highlight w:val="none"/>
              </w:rPr>
            </w:pPr>
          </w:p>
        </w:tc>
        <w:tc>
          <w:tcPr>
            <w:tcW w:w="6861" w:type="dxa"/>
          </w:tcPr>
          <w:p w14:paraId="7F034254">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A-19交货期不符合第二章“投标人须知”第1.3.2项规定。</w:t>
            </w:r>
          </w:p>
        </w:tc>
      </w:tr>
      <w:tr w14:paraId="7F0342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56">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57">
            <w:pPr>
              <w:spacing w:line="400" w:lineRule="exact"/>
              <w:jc w:val="center"/>
              <w:rPr>
                <w:rFonts w:hint="eastAsia" w:ascii="宋体" w:hAnsi="宋体" w:cs="宋体"/>
                <w:b w:val="0"/>
                <w:bCs/>
                <w:color w:val="auto"/>
                <w:szCs w:val="21"/>
                <w:highlight w:val="none"/>
              </w:rPr>
            </w:pPr>
          </w:p>
        </w:tc>
        <w:tc>
          <w:tcPr>
            <w:tcW w:w="6861" w:type="dxa"/>
          </w:tcPr>
          <w:p w14:paraId="7F034258">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A-20交货地点不符合第二章“投标人须知”第1.3.3项规定。</w:t>
            </w:r>
          </w:p>
        </w:tc>
      </w:tr>
      <w:tr w14:paraId="7F03425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5A">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5B">
            <w:pPr>
              <w:spacing w:line="400" w:lineRule="exact"/>
              <w:jc w:val="center"/>
              <w:rPr>
                <w:rFonts w:hint="eastAsia" w:ascii="宋体" w:hAnsi="宋体" w:cs="宋体"/>
                <w:b w:val="0"/>
                <w:bCs/>
                <w:color w:val="auto"/>
                <w:szCs w:val="21"/>
                <w:highlight w:val="none"/>
              </w:rPr>
            </w:pPr>
          </w:p>
        </w:tc>
        <w:tc>
          <w:tcPr>
            <w:tcW w:w="6861" w:type="dxa"/>
          </w:tcPr>
          <w:p w14:paraId="7F03425C">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A-21投标有效期不符合第二章“投标人须知”第3.3.1项规定。</w:t>
            </w:r>
          </w:p>
        </w:tc>
      </w:tr>
      <w:tr w14:paraId="7F03426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5E">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5F">
            <w:pPr>
              <w:spacing w:line="400" w:lineRule="exact"/>
              <w:jc w:val="center"/>
              <w:rPr>
                <w:rFonts w:hint="eastAsia" w:ascii="宋体" w:hAnsi="宋体" w:cs="宋体"/>
                <w:b w:val="0"/>
                <w:bCs/>
                <w:color w:val="auto"/>
                <w:szCs w:val="21"/>
                <w:highlight w:val="none"/>
              </w:rPr>
            </w:pPr>
          </w:p>
        </w:tc>
        <w:tc>
          <w:tcPr>
            <w:tcW w:w="6861" w:type="dxa"/>
          </w:tcPr>
          <w:p w14:paraId="7F034260">
            <w:pPr>
              <w:spacing w:line="400" w:lineRule="exact"/>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A-22投标函及分项报价表中的投标报价高于招标人公布的投标报价最高限价。投标函中的投标总报价与已报价的分项报价表中的投标总报价不一致</w:t>
            </w:r>
            <w:r>
              <w:rPr>
                <w:rFonts w:hint="eastAsia" w:ascii="宋体" w:hAnsi="宋体" w:cs="宋体"/>
                <w:b w:val="0"/>
                <w:bCs/>
                <w:color w:val="auto"/>
                <w:highlight w:val="none"/>
              </w:rPr>
              <w:t>。</w:t>
            </w:r>
          </w:p>
        </w:tc>
      </w:tr>
      <w:tr w14:paraId="7F0342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62">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63">
            <w:pPr>
              <w:spacing w:line="400" w:lineRule="exact"/>
              <w:jc w:val="center"/>
              <w:rPr>
                <w:rFonts w:hint="eastAsia" w:ascii="宋体" w:hAnsi="宋体" w:cs="宋体"/>
                <w:b w:val="0"/>
                <w:bCs/>
                <w:color w:val="auto"/>
                <w:szCs w:val="21"/>
                <w:highlight w:val="none"/>
              </w:rPr>
            </w:pPr>
          </w:p>
        </w:tc>
        <w:tc>
          <w:tcPr>
            <w:tcW w:w="6861" w:type="dxa"/>
            <w:vAlign w:val="center"/>
          </w:tcPr>
          <w:p w14:paraId="7F034264">
            <w:pPr>
              <w:spacing w:line="400" w:lineRule="exact"/>
              <w:ind w:firstLine="420" w:firstLineChars="200"/>
              <w:rPr>
                <w:rFonts w:hint="eastAsia" w:ascii="宋体" w:hAnsi="宋体" w:cs="宋体"/>
                <w:b w:val="0"/>
                <w:bCs/>
                <w:i/>
                <w:color w:val="auto"/>
                <w:szCs w:val="21"/>
                <w:highlight w:val="none"/>
              </w:rPr>
            </w:pPr>
            <w:r>
              <w:rPr>
                <w:rFonts w:hint="eastAsia" w:ascii="宋体" w:hAnsi="宋体" w:cs="宋体"/>
                <w:b w:val="0"/>
                <w:bCs/>
                <w:color w:val="auto"/>
                <w:szCs w:val="21"/>
                <w:highlight w:val="none"/>
              </w:rPr>
              <w:t>A-23</w:t>
            </w:r>
            <w:r>
              <w:rPr>
                <w:rFonts w:hint="eastAsia" w:ascii="宋体" w:hAnsi="宋体" w:cs="宋体"/>
                <w:b w:val="0"/>
                <w:bCs/>
                <w:color w:val="auto"/>
                <w:highlight w:val="none"/>
              </w:rPr>
              <w:t>投标人分项报价表中各分项合价与依据单价和数量计算出的结果不一致，投标总报价与各分项合价汇总计算出的结果不一致。</w:t>
            </w:r>
          </w:p>
        </w:tc>
      </w:tr>
      <w:tr w14:paraId="7F0342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66">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67">
            <w:pPr>
              <w:spacing w:line="400" w:lineRule="exact"/>
              <w:jc w:val="center"/>
              <w:rPr>
                <w:rFonts w:hint="eastAsia" w:ascii="宋体" w:hAnsi="宋体" w:cs="宋体"/>
                <w:b w:val="0"/>
                <w:bCs/>
                <w:color w:val="auto"/>
                <w:szCs w:val="21"/>
                <w:highlight w:val="none"/>
              </w:rPr>
            </w:pPr>
          </w:p>
        </w:tc>
        <w:tc>
          <w:tcPr>
            <w:tcW w:w="6861" w:type="dxa"/>
            <w:vAlign w:val="center"/>
          </w:tcPr>
          <w:p w14:paraId="7F034268">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A-24</w:t>
            </w:r>
            <w:r>
              <w:rPr>
                <w:rFonts w:hint="eastAsia" w:ascii="宋体" w:hAnsi="宋体" w:cs="宋体"/>
                <w:b w:val="0"/>
                <w:bCs/>
                <w:color w:val="auto"/>
                <w:kern w:val="0"/>
                <w:highlight w:val="none"/>
              </w:rPr>
              <w:t>投标人投标总报价低于招标文件规定的对应的异常低价警戒线的，未提供报价合理性说明，或未提供必要的证明材料，或提供的证明材料不能说明其报价的合理性（如有）。</w:t>
            </w:r>
          </w:p>
        </w:tc>
      </w:tr>
      <w:tr w14:paraId="7F03426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6A">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6B">
            <w:pPr>
              <w:spacing w:line="400" w:lineRule="exact"/>
              <w:jc w:val="center"/>
              <w:rPr>
                <w:rFonts w:hint="eastAsia" w:ascii="宋体" w:hAnsi="宋体" w:cs="宋体"/>
                <w:b w:val="0"/>
                <w:bCs/>
                <w:color w:val="auto"/>
                <w:szCs w:val="21"/>
                <w:highlight w:val="none"/>
              </w:rPr>
            </w:pPr>
          </w:p>
        </w:tc>
        <w:tc>
          <w:tcPr>
            <w:tcW w:w="6861" w:type="dxa"/>
            <w:vAlign w:val="center"/>
          </w:tcPr>
          <w:p w14:paraId="7F03426C">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A-25</w:t>
            </w:r>
            <w:r>
              <w:rPr>
                <w:rFonts w:hint="eastAsia" w:ascii="宋体" w:hAnsi="宋体" w:cs="宋体"/>
                <w:b w:val="0"/>
                <w:bCs/>
                <w:color w:val="auto"/>
                <w:kern w:val="0"/>
                <w:szCs w:val="21"/>
                <w:highlight w:val="none"/>
              </w:rPr>
              <w:t>投标人的单项报价为零报价（招标人提供的单项报价最高限价中金额为零的除外）或者负数报价（如有）。</w:t>
            </w:r>
          </w:p>
        </w:tc>
      </w:tr>
      <w:tr w14:paraId="7F03427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6E">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6F">
            <w:pPr>
              <w:spacing w:line="400" w:lineRule="exact"/>
              <w:jc w:val="center"/>
              <w:rPr>
                <w:rFonts w:hint="eastAsia" w:ascii="宋体" w:hAnsi="宋体" w:cs="宋体"/>
                <w:b w:val="0"/>
                <w:bCs/>
                <w:color w:val="auto"/>
                <w:szCs w:val="21"/>
                <w:highlight w:val="none"/>
              </w:rPr>
            </w:pPr>
          </w:p>
        </w:tc>
        <w:tc>
          <w:tcPr>
            <w:tcW w:w="6861" w:type="dxa"/>
            <w:vAlign w:val="center"/>
          </w:tcPr>
          <w:p w14:paraId="7F034270">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A-26</w:t>
            </w:r>
            <w:r>
              <w:rPr>
                <w:rFonts w:hint="eastAsia" w:ascii="宋体" w:hAnsi="宋体" w:cs="宋体"/>
                <w:b w:val="0"/>
                <w:bCs/>
                <w:color w:val="auto"/>
                <w:kern w:val="0"/>
                <w:szCs w:val="21"/>
                <w:highlight w:val="none"/>
              </w:rPr>
              <w:t>投标人分项报价表中有不平衡报价的，不符合第二章“投标人须知前附表”第3.2.5项关于不平衡报价的要求（如有）。</w:t>
            </w:r>
          </w:p>
        </w:tc>
      </w:tr>
      <w:tr w14:paraId="7F03427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72">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73">
            <w:pPr>
              <w:spacing w:line="400" w:lineRule="exact"/>
              <w:jc w:val="center"/>
              <w:rPr>
                <w:rFonts w:hint="eastAsia" w:ascii="宋体" w:hAnsi="宋体" w:cs="宋体"/>
                <w:b w:val="0"/>
                <w:bCs/>
                <w:color w:val="auto"/>
                <w:szCs w:val="21"/>
                <w:highlight w:val="none"/>
              </w:rPr>
            </w:pPr>
          </w:p>
        </w:tc>
        <w:tc>
          <w:tcPr>
            <w:tcW w:w="6861" w:type="dxa"/>
          </w:tcPr>
          <w:p w14:paraId="7F034274">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A-27有多个有效报价。在招标文件没有规定的情况下，提交选择性报价。</w:t>
            </w:r>
          </w:p>
        </w:tc>
      </w:tr>
      <w:tr w14:paraId="7F03427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Merge w:val="continue"/>
            <w:vAlign w:val="center"/>
          </w:tcPr>
          <w:p w14:paraId="7F034276">
            <w:pPr>
              <w:spacing w:line="400" w:lineRule="exact"/>
              <w:jc w:val="center"/>
              <w:rPr>
                <w:rFonts w:hint="eastAsia" w:ascii="宋体" w:hAnsi="宋体" w:cs="宋体"/>
                <w:b w:val="0"/>
                <w:bCs/>
                <w:color w:val="auto"/>
                <w:szCs w:val="21"/>
                <w:highlight w:val="none"/>
              </w:rPr>
            </w:pPr>
          </w:p>
        </w:tc>
        <w:tc>
          <w:tcPr>
            <w:tcW w:w="1550" w:type="dxa"/>
            <w:vMerge w:val="continue"/>
            <w:vAlign w:val="center"/>
          </w:tcPr>
          <w:p w14:paraId="7F034277">
            <w:pPr>
              <w:spacing w:line="400" w:lineRule="exact"/>
              <w:jc w:val="center"/>
              <w:rPr>
                <w:rFonts w:hint="eastAsia" w:ascii="宋体" w:hAnsi="宋体" w:cs="宋体"/>
                <w:b w:val="0"/>
                <w:bCs/>
                <w:color w:val="auto"/>
                <w:szCs w:val="21"/>
                <w:highlight w:val="none"/>
              </w:rPr>
            </w:pPr>
          </w:p>
        </w:tc>
        <w:tc>
          <w:tcPr>
            <w:tcW w:w="6861" w:type="dxa"/>
          </w:tcPr>
          <w:p w14:paraId="7F034278">
            <w:pPr>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A-28投标报价有大小写不一致的，未按照第三章“评标办法”第3.1.2项规定执行。</w:t>
            </w:r>
          </w:p>
        </w:tc>
      </w:tr>
      <w:tr w14:paraId="7F03427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44" w:type="dxa"/>
            <w:vAlign w:val="center"/>
          </w:tcPr>
          <w:p w14:paraId="7F03427A">
            <w:pPr>
              <w:spacing w:line="400" w:lineRule="exact"/>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其他</w:t>
            </w:r>
          </w:p>
        </w:tc>
        <w:tc>
          <w:tcPr>
            <w:tcW w:w="1550" w:type="dxa"/>
            <w:vAlign w:val="center"/>
          </w:tcPr>
          <w:p w14:paraId="7F03427B">
            <w:pPr>
              <w:spacing w:line="400" w:lineRule="exact"/>
              <w:jc w:val="center"/>
              <w:rPr>
                <w:rFonts w:hint="eastAsia" w:ascii="宋体" w:hAnsi="宋体" w:cs="宋体"/>
                <w:b w:val="0"/>
                <w:bCs/>
                <w:color w:val="auto"/>
                <w:szCs w:val="21"/>
                <w:highlight w:val="none"/>
              </w:rPr>
            </w:pPr>
          </w:p>
        </w:tc>
        <w:tc>
          <w:tcPr>
            <w:tcW w:w="6861" w:type="dxa"/>
          </w:tcPr>
          <w:p w14:paraId="7F03427C">
            <w:pPr>
              <w:spacing w:line="400" w:lineRule="exact"/>
              <w:ind w:firstLine="420" w:firstLineChars="200"/>
              <w:rPr>
                <w:rFonts w:hint="eastAsia" w:ascii="宋体" w:hAnsi="宋体" w:cs="宋体"/>
                <w:b w:val="0"/>
                <w:bCs/>
                <w:i/>
                <w:color w:val="auto"/>
                <w:szCs w:val="21"/>
                <w:highlight w:val="none"/>
              </w:rPr>
            </w:pPr>
            <w:r>
              <w:rPr>
                <w:rFonts w:hint="eastAsia" w:ascii="宋体" w:hAnsi="宋体" w:cs="宋体"/>
                <w:b w:val="0"/>
                <w:bCs/>
                <w:iCs/>
                <w:color w:val="auto"/>
                <w:szCs w:val="21"/>
                <w:highlight w:val="none"/>
              </w:rPr>
              <w:t>无</w:t>
            </w:r>
          </w:p>
        </w:tc>
      </w:tr>
    </w:tbl>
    <w:p w14:paraId="7F03427E">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27F">
      <w:pPr>
        <w:rPr>
          <w:rFonts w:ascii="宋体" w:hAnsi="宋体" w:cs="宋体"/>
          <w:b w:val="0"/>
          <w:bCs/>
          <w:color w:val="auto"/>
          <w:highlight w:val="none"/>
        </w:rPr>
      </w:pPr>
    </w:p>
    <w:p w14:paraId="7F034280">
      <w:pPr>
        <w:rPr>
          <w:rFonts w:hint="eastAsia" w:ascii="宋体" w:hAnsi="宋体" w:cs="宋体"/>
          <w:b w:val="0"/>
          <w:bCs/>
          <w:snapToGrid w:val="0"/>
          <w:color w:val="auto"/>
          <w:kern w:val="0"/>
          <w:highlight w:val="none"/>
        </w:rPr>
      </w:pPr>
      <w:bookmarkStart w:id="602" w:name="_Toc58860121"/>
      <w:r>
        <w:rPr>
          <w:rFonts w:hint="eastAsia" w:ascii="宋体" w:hAnsi="宋体" w:cs="宋体"/>
          <w:b w:val="0"/>
          <w:bCs/>
          <w:snapToGrid w:val="0"/>
          <w:color w:val="auto"/>
          <w:kern w:val="0"/>
          <w:highlight w:val="none"/>
        </w:rPr>
        <w:br w:type="page"/>
      </w:r>
    </w:p>
    <w:bookmarkEnd w:id="602"/>
    <w:p w14:paraId="7F034281">
      <w:pPr>
        <w:pStyle w:val="3"/>
        <w:spacing w:line="360" w:lineRule="auto"/>
        <w:jc w:val="center"/>
        <w:rPr>
          <w:rFonts w:hint="eastAsia" w:ascii="宋体" w:hAnsi="宋体" w:cs="宋体"/>
          <w:b w:val="0"/>
          <w:bCs/>
          <w:color w:val="auto"/>
          <w:kern w:val="0"/>
          <w:highlight w:val="none"/>
        </w:rPr>
      </w:pPr>
      <w:bookmarkStart w:id="603" w:name="_Toc509218785"/>
      <w:bookmarkStart w:id="604" w:name="_Toc32261"/>
      <w:bookmarkStart w:id="605" w:name="_Toc430530509"/>
      <w:r>
        <w:rPr>
          <w:rFonts w:hint="eastAsia" w:ascii="宋体" w:hAnsi="宋体" w:cs="宋体"/>
          <w:b w:val="0"/>
          <w:bCs/>
          <w:color w:val="auto"/>
          <w:kern w:val="0"/>
          <w:highlight w:val="none"/>
        </w:rPr>
        <w:t>第四章  合同条款及格式</w:t>
      </w:r>
      <w:bookmarkEnd w:id="603"/>
      <w:bookmarkEnd w:id="604"/>
      <w:bookmarkEnd w:id="605"/>
    </w:p>
    <w:p w14:paraId="7F034282">
      <w:pPr>
        <w:rPr>
          <w:rFonts w:ascii="宋体" w:hAnsi="宋体" w:cs="宋体"/>
          <w:b w:val="0"/>
          <w:bCs/>
          <w:color w:val="auto"/>
          <w:highlight w:val="none"/>
        </w:rPr>
      </w:pPr>
    </w:p>
    <w:p w14:paraId="7F034283">
      <w:pPr>
        <w:rPr>
          <w:rFonts w:ascii="宋体" w:hAnsi="宋体" w:cs="宋体"/>
          <w:b w:val="0"/>
          <w:bCs/>
          <w:color w:val="auto"/>
          <w:highlight w:val="none"/>
        </w:rPr>
      </w:pPr>
      <w:r>
        <w:rPr>
          <w:rFonts w:ascii="宋体" w:hAnsi="宋体" w:cs="宋体"/>
          <w:b w:val="0"/>
          <w:bCs/>
          <w:color w:val="auto"/>
          <w:highlight w:val="none"/>
        </w:rPr>
        <w:br w:type="page"/>
      </w:r>
    </w:p>
    <w:p w14:paraId="7F034284">
      <w:pPr>
        <w:pStyle w:val="4"/>
        <w:spacing w:line="360" w:lineRule="auto"/>
        <w:jc w:val="center"/>
        <w:rPr>
          <w:rFonts w:hint="eastAsia" w:ascii="宋体" w:hAnsi="宋体" w:cs="宋体"/>
          <w:b w:val="0"/>
          <w:bCs/>
          <w:color w:val="auto"/>
          <w:sz w:val="21"/>
          <w:szCs w:val="21"/>
          <w:highlight w:val="none"/>
        </w:rPr>
      </w:pPr>
      <w:bookmarkStart w:id="606" w:name="_Toc532377179"/>
      <w:bookmarkStart w:id="607" w:name="_Toc532375586"/>
      <w:bookmarkStart w:id="608" w:name="_Toc529388289"/>
      <w:bookmarkStart w:id="609" w:name="_Toc5572"/>
      <w:bookmarkStart w:id="610" w:name="_Toc11011"/>
      <w:bookmarkStart w:id="611" w:name="_Toc351203632"/>
      <w:bookmarkStart w:id="612" w:name="_Toc267261701"/>
      <w:bookmarkStart w:id="613" w:name="_Toc351203480"/>
      <w:bookmarkStart w:id="614" w:name="_Toc296503025"/>
      <w:bookmarkStart w:id="615" w:name="_Toc296890982"/>
      <w:r>
        <w:rPr>
          <w:rFonts w:hint="eastAsia" w:ascii="宋体" w:hAnsi="宋体" w:cs="宋体"/>
          <w:b w:val="0"/>
          <w:bCs/>
          <w:color w:val="auto"/>
          <w:kern w:val="0"/>
          <w:sz w:val="28"/>
          <w:szCs w:val="28"/>
          <w:highlight w:val="none"/>
        </w:rPr>
        <w:t>第一节 通用合同条款</w:t>
      </w:r>
      <w:bookmarkEnd w:id="606"/>
      <w:bookmarkEnd w:id="607"/>
      <w:bookmarkEnd w:id="608"/>
      <w:bookmarkEnd w:id="609"/>
      <w:bookmarkEnd w:id="610"/>
    </w:p>
    <w:p w14:paraId="7F034285">
      <w:pPr>
        <w:pStyle w:val="101"/>
        <w:keepNext w:val="0"/>
        <w:keepLines w:val="0"/>
        <w:tabs>
          <w:tab w:val="left" w:pos="567"/>
        </w:tabs>
        <w:spacing w:before="156" w:after="156"/>
        <w:rPr>
          <w:rFonts w:ascii="宋体" w:hAnsi="宋体" w:eastAsia="宋体"/>
          <w:b w:val="0"/>
          <w:bCs/>
          <w:color w:val="auto"/>
          <w:sz w:val="32"/>
          <w:szCs w:val="32"/>
          <w:highlight w:val="none"/>
        </w:rPr>
      </w:pPr>
      <w:bookmarkStart w:id="616" w:name="_Toc7119"/>
      <w:bookmarkStart w:id="617" w:name="_Toc31355"/>
      <w:bookmarkStart w:id="618" w:name="_Toc18161"/>
      <w:bookmarkStart w:id="619" w:name="_Toc2881580"/>
      <w:bookmarkStart w:id="620" w:name="_Toc7639"/>
      <w:bookmarkStart w:id="621" w:name="_Toc13998"/>
      <w:bookmarkStart w:id="622" w:name="_Toc19477"/>
      <w:r>
        <w:rPr>
          <w:rFonts w:hint="eastAsia" w:ascii="宋体" w:hAnsi="宋体" w:eastAsia="宋体"/>
          <w:b w:val="0"/>
          <w:bCs/>
          <w:color w:val="auto"/>
          <w:sz w:val="32"/>
          <w:szCs w:val="32"/>
          <w:highlight w:val="none"/>
        </w:rPr>
        <w:t>1.一般约定</w:t>
      </w:r>
      <w:bookmarkEnd w:id="616"/>
      <w:bookmarkEnd w:id="617"/>
      <w:bookmarkEnd w:id="618"/>
      <w:bookmarkEnd w:id="619"/>
      <w:bookmarkEnd w:id="620"/>
      <w:bookmarkEnd w:id="621"/>
      <w:bookmarkEnd w:id="622"/>
    </w:p>
    <w:p w14:paraId="7F034286">
      <w:pPr>
        <w:tabs>
          <w:tab w:val="left" w:pos="1134"/>
        </w:tabs>
        <w:spacing w:line="360" w:lineRule="auto"/>
        <w:ind w:firstLine="420" w:firstLineChars="200"/>
        <w:rPr>
          <w:rFonts w:ascii="宋体" w:hAnsi="宋体" w:cs="宋体"/>
          <w:b w:val="0"/>
          <w:bCs/>
          <w:color w:val="auto"/>
          <w:kern w:val="0"/>
          <w:sz w:val="17"/>
          <w:szCs w:val="17"/>
          <w:highlight w:val="none"/>
        </w:rPr>
      </w:pPr>
      <w:r>
        <w:rPr>
          <w:rFonts w:hint="eastAsia" w:ascii="宋体" w:hAnsi="宋体" w:cs="宋体"/>
          <w:b w:val="0"/>
          <w:bCs/>
          <w:color w:val="auto"/>
          <w:szCs w:val="21"/>
          <w:highlight w:val="none"/>
        </w:rPr>
        <w:t>1.1 词语定义</w:t>
      </w:r>
    </w:p>
    <w:p w14:paraId="7F03428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除专用合同条款另有约定外，合同中的下列词语应具有本款所赋予的含义。</w:t>
      </w:r>
    </w:p>
    <w:p w14:paraId="7F03428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 合同</w:t>
      </w:r>
    </w:p>
    <w:p w14:paraId="7F03428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1.1.1.1 合同文件（或称合同）：指合同协议书、中标通知书、投标函、商务和技术偏差表、专用合同条款、通用合同条款、供货要求、分项报价表、中标设备技术性能指标的详细描述、技术服务和质量保证期服务计划，以及其他构成合同组成部分的文件。</w:t>
      </w:r>
    </w:p>
    <w:p w14:paraId="7F03428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1.1.1.2 合同协议书：指买方和卖方共同签署的合同协议书。</w:t>
      </w:r>
    </w:p>
    <w:p w14:paraId="7F03428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1.1.1.3 中标通知书：指买方通知卖方中标的函件。</w:t>
      </w:r>
    </w:p>
    <w:p w14:paraId="7F03428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1.1.1.4 投标函：指由卖方填写并签署的，名为“投标函”的函件。</w:t>
      </w:r>
    </w:p>
    <w:p w14:paraId="7F03428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1.1.1.5 商务和技术偏差表：指卖方投标文件中的商务和技术偏差表。</w:t>
      </w:r>
    </w:p>
    <w:p w14:paraId="7F03428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1.1.1.6 供货要求：指合同文件中名为“供货要求”的文件。</w:t>
      </w:r>
    </w:p>
    <w:p w14:paraId="7F03428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1.1.1.7 中标设备技术性能指标的详细描述：指卖方投标文件中的投标设备技术性能指标的详细描述。</w:t>
      </w:r>
    </w:p>
    <w:p w14:paraId="7F03429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1.1.1.8 技术服务和质量保证期服务计划：指卖方投标文件中的技术服务和质量保证期服务计划。</w:t>
      </w:r>
    </w:p>
    <w:p w14:paraId="7F03429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1.1.1.9 分项报价表：指卖方投标文件中的分项报价表。</w:t>
      </w:r>
    </w:p>
    <w:p w14:paraId="7F03429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1.1.1.10 其他合同文件：指经合同双方当事人确认构成合同文件的其他文件。</w:t>
      </w:r>
    </w:p>
    <w:p w14:paraId="7F03429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1.1.2 合同当事人</w:t>
      </w:r>
    </w:p>
    <w:p w14:paraId="7F03429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1.1.2.1 合同当事人：指买方和（或）卖方。</w:t>
      </w:r>
    </w:p>
    <w:p w14:paraId="7F03429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1.1.2.2 买方：指与卖方签订合同协议书，购买合同设备和技术服务和质量保证期服务的当事人，及其合法继承人。</w:t>
      </w:r>
    </w:p>
    <w:p w14:paraId="7F03429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1.1.2.3 卖方：指与买方签订合同协议书，提供合同设备和技术服务和质量保证期服务的当事人，及其合法继承人。</w:t>
      </w:r>
    </w:p>
    <w:p w14:paraId="7F03429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1.1.3 合同价格</w:t>
      </w:r>
    </w:p>
    <w:p w14:paraId="7F03429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1.1.3.1 签约合同价：是签订合同时合同协议书中写明的合同总金额。</w:t>
      </w:r>
    </w:p>
    <w:p w14:paraId="7F03429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1.1.3.2 合同价格：指卖方按合同约定履行了全部合同义务后，买方应付给卖方的金额。</w:t>
      </w:r>
    </w:p>
    <w:p w14:paraId="7F03429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1.1.4 合同设备：指卖方按合同约定应向买方提供的设备、装置、备品、备件、易损易耗件、配套使用的软件或其他辅助电子应用程序及技术资料，或其中任何一部分。</w:t>
      </w:r>
    </w:p>
    <w:p w14:paraId="7F03429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1.1.5 技术资料：指各种纸质及电子载体的与合同设备的设计、检验、安装、调试、考核、操作、维修以及保养等有关的技术指标、规格、图纸和说明文件。</w:t>
      </w:r>
    </w:p>
    <w:p w14:paraId="7F03429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1.1.6 安装：指对合同设备进行的组装、连接以及根据需要将合同设备固定在施工场地内一定的位置上，使其就位并与相关设备、工程实现连接。</w:t>
      </w:r>
    </w:p>
    <w:p w14:paraId="7F03429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1.1.7 调试：指在合同设备安装完成后，对合同设备所进行的调校和测试。</w:t>
      </w:r>
    </w:p>
    <w:p w14:paraId="7F03429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1.1.8 考核：指在合同设备调试完成后，对合同设备进行的用于确定其是否达到合同约定的技术性能考核指标的考核。</w:t>
      </w:r>
    </w:p>
    <w:p w14:paraId="7F03429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1.1.9 验收：指合同设备通过考核达到合同约定的技术性能考核指标后，买方作出接受合同设备的确认。</w:t>
      </w:r>
    </w:p>
    <w:p w14:paraId="7F0342A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1.1.10 技术服务：指卖方按合同约定，在合同设备验收前，向买方提供的安装、调试服务，或者在由买方负责的安装、调试、考核中对买方进行的技术指导、协助、监督和培训等。</w:t>
      </w:r>
    </w:p>
    <w:p w14:paraId="7F0342A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1.1.11 质量保证期：指合同设备验收后，卖方按合同约定保证合同设备适当、稳定运行，并负责消除合同设备故障的期限。</w:t>
      </w:r>
    </w:p>
    <w:p w14:paraId="7F0342A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1.1.12 质量保证期服务：指在质量保证期内，卖方向买方提供的合同设备维护服务、咨询服务、技术指导、协助以及对出现故障的合同设备进行修理或更换的服务。</w:t>
      </w:r>
    </w:p>
    <w:p w14:paraId="7F0342A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1.1.13 工程</w:t>
      </w:r>
    </w:p>
    <w:p w14:paraId="7F0342A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1.1.13.1 工程：指在专用合同条款中指明的，安装运行合同设备的工程。</w:t>
      </w:r>
    </w:p>
    <w:p w14:paraId="7F0342A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1.1.13.2 施工场地（或称工地、施工现场）：指专用合同条款中指明的工程所在场所。</w:t>
      </w:r>
    </w:p>
    <w:p w14:paraId="7F0342A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1.1.14 天（或称日）：除特别指明外，指日历天。合同中按天计算时间的，开始当天不计入，从次日开始计算。合同约定的期间的最后一天是星期日或者其他法定休假日的，以休假日的次日为期间的最后一天。</w:t>
      </w:r>
    </w:p>
    <w:p w14:paraId="7F0342A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1.1.15 月：按照公历月计算。合同中按月计算时间的，开始当天不计入，从次日开始计算。合同约定的期间的最后一天是星期日或者其他法定休假日的，以休假日的次日为期间的最后一天。</w:t>
      </w:r>
    </w:p>
    <w:p w14:paraId="7F0342A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1.1.16 书面形式：指合同文件、信件和数据电文（包括电报、电传、传真、电子数据交换和电子邮件）等可以有形地表现所载内容的形式。</w:t>
      </w:r>
    </w:p>
    <w:p w14:paraId="7F0342A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 语言文字</w:t>
      </w:r>
    </w:p>
    <w:p w14:paraId="7F0342A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合同使用的语言文字为中文。专用术语使用外文的，应附有中文注释。</w:t>
      </w:r>
    </w:p>
    <w:p w14:paraId="7F0342A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1.3 合同文件的优先顺序</w:t>
      </w:r>
    </w:p>
    <w:p w14:paraId="7F0342A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组成合同的各项文件应互相解释，互为说明。除专用合同条款另有约定外，解释合同文件的优先顺序如下：</w:t>
      </w:r>
    </w:p>
    <w:p w14:paraId="7F0342A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（1）合同协议书；</w:t>
      </w:r>
    </w:p>
    <w:p w14:paraId="7F0342A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（2）中标通知书；</w:t>
      </w:r>
    </w:p>
    <w:p w14:paraId="7F0342A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（3）投标函；</w:t>
      </w:r>
    </w:p>
    <w:p w14:paraId="7F0342B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（4）商务和技术偏差表；</w:t>
      </w:r>
    </w:p>
    <w:p w14:paraId="7F0342B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（5）专用合同条款；</w:t>
      </w:r>
    </w:p>
    <w:p w14:paraId="7F0342B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（6）通用合同条款；</w:t>
      </w:r>
    </w:p>
    <w:p w14:paraId="7F0342B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（7）供货要求；</w:t>
      </w:r>
    </w:p>
    <w:p w14:paraId="7F0342B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（8）分项报价表；</w:t>
      </w:r>
    </w:p>
    <w:p w14:paraId="7F0342B5">
      <w:pPr>
        <w:tabs>
          <w:tab w:val="left" w:pos="1134"/>
        </w:tabs>
        <w:spacing w:line="360" w:lineRule="auto"/>
        <w:ind w:firstLine="420" w:firstLineChars="200"/>
        <w:rPr>
          <w:rFonts w:hint="eastAsia" w:ascii="宋体" w:hAnsi="宋体" w:cs="宋体"/>
          <w:b w:val="0"/>
          <w:bCs/>
          <w:color w:val="auto"/>
          <w:szCs w:val="21"/>
          <w:highlight w:val="none"/>
        </w:rPr>
      </w:pPr>
      <w:bookmarkStart w:id="623" w:name="_Hlk2542503"/>
      <w:r>
        <w:rPr>
          <w:rFonts w:hint="eastAsia" w:ascii="宋体" w:hAnsi="宋体" w:cs="宋体"/>
          <w:b w:val="0"/>
          <w:bCs/>
          <w:color w:val="auto"/>
          <w:szCs w:val="21"/>
          <w:highlight w:val="none"/>
        </w:rPr>
        <w:t>（9）中标设备技术性能指标的详细描述；</w:t>
      </w:r>
    </w:p>
    <w:p w14:paraId="7F0342B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（10）技术服务和质量保证期服务计划；</w:t>
      </w:r>
    </w:p>
    <w:bookmarkEnd w:id="623"/>
    <w:p w14:paraId="7F0342B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（11）其他合同文件。</w:t>
      </w:r>
    </w:p>
    <w:p w14:paraId="7F0342B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 合同的生效及变更</w:t>
      </w:r>
    </w:p>
    <w:p w14:paraId="7F0342B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1.4.1 除专用合同条款另有约定外，买方和卖方的法定代表人或其授权代表在合同协议书上签字并加盖单位章后，合同生效。</w:t>
      </w:r>
    </w:p>
    <w:p w14:paraId="7F0342B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1.4.2 除专用合同条款另有约定外，在合同履行过程中，如需对合同进行变更，双方应签订书面协议，并经双方法定代表人或其授权代表签字并加盖单位章后生效。</w:t>
      </w:r>
    </w:p>
    <w:p w14:paraId="7F0342B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1.5 联络</w:t>
      </w:r>
    </w:p>
    <w:p w14:paraId="7F0342B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7F0342B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1.5.2 合同履行中或与合同有关的任何联络，送达到第 1.5.1 项指定的联系人即视为送达。</w:t>
      </w:r>
    </w:p>
    <w:p w14:paraId="7F0342B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1.5.3 买方可以安排监理等相关人员作为买方人员，与卖方进行联络或参加合同设备的监造（如有）、交货前检验（如有）、开箱检验、安装、调试、考核、验收等，但应按照第 1.5.1 项的约定事先书面通知卖方。</w:t>
      </w:r>
    </w:p>
    <w:p w14:paraId="7F0342B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 联合体</w:t>
      </w:r>
    </w:p>
    <w:p w14:paraId="7F0342C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1.6.1 卖方为联合体的，联合体各方应当共同与买方签订合同，并向买方为履行合同承担连带责任。</w:t>
      </w:r>
    </w:p>
    <w:p w14:paraId="7F0342C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1.6.2 在合同履行过程中，未经买方同意，不得修改共同投标协议。共同投标协议中关于联合体 成员间权利义务的划分，并不影响或减损联合体各方应就履行合同向买方承担的连带责任。</w:t>
      </w:r>
    </w:p>
    <w:p w14:paraId="7F0342C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1.6.3 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7F0342C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1.7 转让</w:t>
      </w:r>
    </w:p>
    <w:p w14:paraId="7F0342C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未经对方当事人书面同意，合同任何一方均不得转让其在合同项下的权利和（或）义务。</w:t>
      </w:r>
    </w:p>
    <w:p w14:paraId="7F0342C5">
      <w:pPr>
        <w:pStyle w:val="101"/>
        <w:keepNext w:val="0"/>
        <w:keepLines w:val="0"/>
        <w:tabs>
          <w:tab w:val="left" w:pos="567"/>
        </w:tabs>
        <w:spacing w:before="156" w:after="156"/>
        <w:rPr>
          <w:rFonts w:ascii="宋体" w:hAnsi="宋体" w:eastAsia="宋体"/>
          <w:b w:val="0"/>
          <w:bCs/>
          <w:color w:val="auto"/>
          <w:sz w:val="32"/>
          <w:szCs w:val="32"/>
          <w:highlight w:val="none"/>
        </w:rPr>
      </w:pPr>
      <w:bookmarkStart w:id="624" w:name="_Toc4506"/>
      <w:bookmarkStart w:id="625" w:name="_Toc9091"/>
      <w:bookmarkStart w:id="626" w:name="_Toc2881581"/>
      <w:bookmarkStart w:id="627" w:name="_Toc15901"/>
      <w:bookmarkStart w:id="628" w:name="_Toc3276"/>
      <w:bookmarkStart w:id="629" w:name="_Toc12458"/>
      <w:bookmarkStart w:id="630" w:name="_Toc25460"/>
      <w:r>
        <w:rPr>
          <w:rFonts w:hint="eastAsia" w:ascii="宋体" w:hAnsi="宋体" w:eastAsia="宋体"/>
          <w:b w:val="0"/>
          <w:bCs/>
          <w:color w:val="auto"/>
          <w:sz w:val="32"/>
          <w:szCs w:val="32"/>
          <w:highlight w:val="none"/>
        </w:rPr>
        <w:t>2.合同范围</w:t>
      </w:r>
      <w:bookmarkEnd w:id="624"/>
      <w:bookmarkEnd w:id="625"/>
      <w:bookmarkEnd w:id="626"/>
      <w:bookmarkEnd w:id="627"/>
      <w:bookmarkEnd w:id="628"/>
      <w:bookmarkEnd w:id="629"/>
      <w:bookmarkEnd w:id="630"/>
    </w:p>
    <w:p w14:paraId="7F0342C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卖方应根据供货要求、中标设备技术性能指标的详细描述、技术服务和质量保证期服务计划等合同文件的约定向买方提供合同设备、技术服务和质量保证期服务。</w:t>
      </w:r>
    </w:p>
    <w:p w14:paraId="7F0342C7">
      <w:pPr>
        <w:pStyle w:val="101"/>
        <w:keepNext w:val="0"/>
        <w:keepLines w:val="0"/>
        <w:tabs>
          <w:tab w:val="left" w:pos="567"/>
        </w:tabs>
        <w:spacing w:before="156" w:after="156"/>
        <w:rPr>
          <w:rFonts w:ascii="宋体" w:hAnsi="宋体" w:eastAsia="宋体"/>
          <w:b w:val="0"/>
          <w:bCs/>
          <w:color w:val="auto"/>
          <w:sz w:val="32"/>
          <w:szCs w:val="32"/>
          <w:highlight w:val="none"/>
        </w:rPr>
      </w:pPr>
      <w:bookmarkStart w:id="631" w:name="_Toc2881582"/>
      <w:bookmarkStart w:id="632" w:name="_Toc22809"/>
      <w:bookmarkStart w:id="633" w:name="_Toc195"/>
      <w:bookmarkStart w:id="634" w:name="_Toc30953"/>
      <w:bookmarkStart w:id="635" w:name="_Toc31330"/>
      <w:bookmarkStart w:id="636" w:name="_Toc9282"/>
      <w:bookmarkStart w:id="637" w:name="_Toc4892"/>
      <w:r>
        <w:rPr>
          <w:rFonts w:hint="eastAsia" w:ascii="宋体" w:hAnsi="宋体" w:eastAsia="宋体"/>
          <w:b w:val="0"/>
          <w:bCs/>
          <w:color w:val="auto"/>
          <w:sz w:val="32"/>
          <w:szCs w:val="32"/>
          <w:highlight w:val="none"/>
        </w:rPr>
        <w:t>3.合同价格与支付</w:t>
      </w:r>
      <w:bookmarkEnd w:id="631"/>
      <w:bookmarkEnd w:id="632"/>
      <w:bookmarkEnd w:id="633"/>
      <w:bookmarkEnd w:id="634"/>
      <w:bookmarkEnd w:id="635"/>
      <w:bookmarkEnd w:id="636"/>
      <w:bookmarkEnd w:id="637"/>
    </w:p>
    <w:p w14:paraId="7F0342C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3.1 合同价格</w:t>
      </w:r>
    </w:p>
    <w:p w14:paraId="7F0342C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3.1.1 合同协议书中载明的签约合同价包括卖方为完成合同全部义务应承担的一切成本、费用和支出以及卖方的合理利润和税金。</w:t>
      </w:r>
    </w:p>
    <w:p w14:paraId="7F0342C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3.1.2 除专用合同条款另有约定外，签约合同价为固定价格。</w:t>
      </w:r>
    </w:p>
    <w:p w14:paraId="7F0342C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3.2 合同价款的支付</w:t>
      </w:r>
    </w:p>
    <w:p w14:paraId="7F0342C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除专用合同条款另有约定外，买方应通过以下方式和比例向卖方支付合同价款：</w:t>
      </w:r>
    </w:p>
    <w:p w14:paraId="7F0342C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3.2.1 预付款</w:t>
      </w:r>
    </w:p>
    <w:p w14:paraId="7F0342C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合同生效后，买方在收到卖方开具的注明应付预付款金额的财务收据正本一份并经审核无误后 28 日内，向卖方支付签约合同价的 30%作为预付款。</w:t>
      </w:r>
    </w:p>
    <w:p w14:paraId="7F0342C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买方支付预付款后，如卖方未履行合同义务，则买方有权收回预付款；如卖方依约履行了合同义务，则预付款抵作合同价款。</w:t>
      </w:r>
    </w:p>
    <w:p w14:paraId="7F0342D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3.2.2 交货款 </w:t>
      </w:r>
    </w:p>
    <w:p w14:paraId="7F0342D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卖方按合同约定完成全部合同设备制造后，买方在卖方现场进行预验收。双方确认预验收符合要求，双方代表签订纪要并将问题项整改完成。</w:t>
      </w:r>
    </w:p>
    <w:p w14:paraId="7F0342D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预验收须提交下列全部单据并经审核无误后 28 日内，买方向卖方支付合同价格的 30% ：</w:t>
      </w:r>
      <w:r>
        <w:rPr>
          <w:rFonts w:hint="eastAsia" w:ascii="宋体" w:hAnsi="宋体" w:cs="宋体"/>
          <w:b w:val="0"/>
          <w:bCs/>
          <w:color w:val="auto"/>
          <w:highlight w:val="none"/>
        </w:rPr>
        <w:t>卖方收到货款后，向买方发货。</w:t>
      </w:r>
    </w:p>
    <w:p w14:paraId="7F0342D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（1）卖方出具的交货清单正本一份；</w:t>
      </w:r>
    </w:p>
    <w:p w14:paraId="7F0342D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（2）买方签署的收货清单正本一份；</w:t>
      </w:r>
    </w:p>
    <w:p w14:paraId="7F0342D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（3）制造商出具的出厂质量合格证正本一份；</w:t>
      </w:r>
    </w:p>
    <w:p w14:paraId="7F0342D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（4）合同价格100%金额的增值税发票正本一份。</w:t>
      </w:r>
    </w:p>
    <w:p w14:paraId="7F0342D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3.2.3 验收款 </w:t>
      </w:r>
    </w:p>
    <w:p w14:paraId="7F0342D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买方在收到卖方提交的买卖双方签署的合同设备验收证书或已生效的验收款支付函正本一份并经审核无误后 28 日内，向卖方支付合同价格的 30%。</w:t>
      </w:r>
    </w:p>
    <w:p w14:paraId="7F0342D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3.2.4 结清款 </w:t>
      </w:r>
    </w:p>
    <w:p w14:paraId="7F0342D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买方在收到卖方提交的买方签署的质量保证期届满证书或已生效的结清款支付函正本一份并经审核无误后 28 日内，向卖方支付合同价格的 10%。</w:t>
      </w:r>
    </w:p>
    <w:p w14:paraId="7F0342D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如果依照合同第 9.1 项，卖方应向买方支付费用的，买方有权从结清款中直接扣除该笔费用。</w:t>
      </w:r>
    </w:p>
    <w:p w14:paraId="7F0342D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除专用合同条款另有约定外，在买方向卖方支付验收款的同时或其后的任何时间内，卖方可在向买方提交买方可接受的金额为合同价格 10%的合同结清款保函的前提下，要求买方支付合同结清款，买方不得拒绝。</w:t>
      </w:r>
    </w:p>
    <w:p w14:paraId="7F0342D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3.3 买方扣款的权利</w:t>
      </w:r>
    </w:p>
    <w:p w14:paraId="7F0342D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当卖方应向买方支付合同项下的违约金或赔偿金时，买方有权从上述任何一笔应付款中予以直接扣除和（或）兑付履约保证金。</w:t>
      </w:r>
    </w:p>
    <w:p w14:paraId="7F0342DF">
      <w:pPr>
        <w:pStyle w:val="101"/>
        <w:keepNext w:val="0"/>
        <w:keepLines w:val="0"/>
        <w:tabs>
          <w:tab w:val="left" w:pos="567"/>
        </w:tabs>
        <w:spacing w:before="156" w:after="156"/>
        <w:rPr>
          <w:rFonts w:ascii="宋体" w:hAnsi="宋体" w:eastAsia="宋体"/>
          <w:b w:val="0"/>
          <w:bCs/>
          <w:color w:val="auto"/>
          <w:sz w:val="32"/>
          <w:szCs w:val="32"/>
          <w:highlight w:val="none"/>
        </w:rPr>
      </w:pPr>
      <w:bookmarkStart w:id="638" w:name="_Toc18637"/>
      <w:bookmarkStart w:id="639" w:name="_Toc20684"/>
      <w:bookmarkStart w:id="640" w:name="_Toc32618"/>
      <w:bookmarkStart w:id="641" w:name="_Toc5960"/>
      <w:bookmarkStart w:id="642" w:name="_Toc3886"/>
      <w:bookmarkStart w:id="643" w:name="_Toc2881583"/>
      <w:bookmarkStart w:id="644" w:name="_Toc24979"/>
      <w:r>
        <w:rPr>
          <w:rFonts w:hint="eastAsia" w:ascii="宋体" w:hAnsi="宋体" w:eastAsia="宋体"/>
          <w:b w:val="0"/>
          <w:bCs/>
          <w:color w:val="auto"/>
          <w:sz w:val="32"/>
          <w:szCs w:val="32"/>
          <w:highlight w:val="none"/>
        </w:rPr>
        <w:t>4.监造及交货前检验</w:t>
      </w:r>
      <w:bookmarkEnd w:id="638"/>
      <w:bookmarkEnd w:id="639"/>
      <w:bookmarkEnd w:id="640"/>
      <w:bookmarkEnd w:id="641"/>
      <w:bookmarkEnd w:id="642"/>
      <w:bookmarkEnd w:id="643"/>
      <w:bookmarkEnd w:id="644"/>
    </w:p>
    <w:p w14:paraId="7F0342E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 监造</w:t>
      </w:r>
    </w:p>
    <w:p w14:paraId="7F0342E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专用合同条款约定买方对合同设备进行监造的，双方应按本款及专用合同条款约定履行。</w:t>
      </w:r>
    </w:p>
    <w:p w14:paraId="7F0342E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4.1.1 在合同设备的制造过程中，买方可派出监造人员，对合同设备的生产制造进行监造，监督合同设备制造、检验等情况。监造的范围、方式等应符合专用合同条款和（或）供货要求等合同文件的约定。</w:t>
      </w:r>
    </w:p>
    <w:p w14:paraId="7F0342E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7F0342E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7F0342E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4.1.4 买方监造人员在监造中如发现合同设备及其关键部件不符合合同约定的标准，则有权提出意见和建议。卖方应采取必要措施消除合同设备的不符，由此增加的费用和（或）造成的延误由卖方负责。</w:t>
      </w:r>
    </w:p>
    <w:p w14:paraId="7F0342E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F0342E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4.2 交货前检验</w:t>
      </w:r>
    </w:p>
    <w:p w14:paraId="7F0342E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专用合同条款约定买方参与交货前检验的，双方应按本款及专用合同条款约定履行。</w:t>
      </w:r>
    </w:p>
    <w:p w14:paraId="7F0342E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7F0342E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7F0342E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4.2.3 买方代表在检验中如发现合同设备不符合合同约定的标准，则有权提出异议。卖方应采取必要措施消除合同设备的不符，由此增加的费用和（或）造成的延误由卖方负责。</w:t>
      </w:r>
    </w:p>
    <w:p w14:paraId="7F0342E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4.2.4 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7F0342ED">
      <w:pPr>
        <w:pStyle w:val="101"/>
        <w:keepNext w:val="0"/>
        <w:keepLines w:val="0"/>
        <w:tabs>
          <w:tab w:val="left" w:pos="567"/>
        </w:tabs>
        <w:spacing w:before="156" w:after="156"/>
        <w:rPr>
          <w:rFonts w:ascii="宋体" w:hAnsi="宋体" w:eastAsia="宋体"/>
          <w:b w:val="0"/>
          <w:bCs/>
          <w:color w:val="auto"/>
          <w:sz w:val="32"/>
          <w:szCs w:val="32"/>
          <w:highlight w:val="none"/>
        </w:rPr>
      </w:pPr>
      <w:bookmarkStart w:id="645" w:name="_Toc2881584"/>
      <w:bookmarkStart w:id="646" w:name="_Toc12083"/>
      <w:bookmarkStart w:id="647" w:name="_Toc26450"/>
      <w:bookmarkStart w:id="648" w:name="_Toc7682"/>
      <w:bookmarkStart w:id="649" w:name="_Toc1835"/>
      <w:bookmarkStart w:id="650" w:name="_Toc10432"/>
      <w:bookmarkStart w:id="651" w:name="_Toc15764"/>
      <w:r>
        <w:rPr>
          <w:rFonts w:hint="eastAsia" w:ascii="宋体" w:hAnsi="宋体" w:eastAsia="宋体"/>
          <w:b w:val="0"/>
          <w:bCs/>
          <w:color w:val="auto"/>
          <w:sz w:val="32"/>
          <w:szCs w:val="32"/>
          <w:highlight w:val="none"/>
        </w:rPr>
        <w:t>5.包装、标记、运输和交付</w:t>
      </w:r>
      <w:bookmarkEnd w:id="645"/>
      <w:bookmarkEnd w:id="646"/>
      <w:bookmarkEnd w:id="647"/>
      <w:bookmarkEnd w:id="648"/>
      <w:bookmarkEnd w:id="649"/>
      <w:bookmarkEnd w:id="650"/>
      <w:bookmarkEnd w:id="651"/>
    </w:p>
    <w:p w14:paraId="7F0342E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5.1 包装</w:t>
      </w:r>
    </w:p>
    <w:p w14:paraId="7F0342E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5.1.1 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7F0342F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5.1.2 每个独立包装箱内应附装箱清单、质量合格证、装配图、说明书、操作指南等资料。</w:t>
      </w:r>
    </w:p>
    <w:p w14:paraId="7F0342F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5.1.3 除专用合同条款另有约定外，买方无需将包装物退还给卖方。</w:t>
      </w:r>
    </w:p>
    <w:p w14:paraId="7F0342F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5.2 标记</w:t>
      </w:r>
    </w:p>
    <w:p w14:paraId="7F0342F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5.2.1 除专用合同条款另有约定外，卖方应在每一包装箱相邻的四个侧面以不可擦除的、明显的方式标记必要的装运信息和标记，以满足合同设备运输和保管的需要。</w:t>
      </w:r>
    </w:p>
    <w:p w14:paraId="7F0342F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7F0342F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 运输</w:t>
      </w:r>
    </w:p>
    <w:p w14:paraId="7F0342F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5.3.1 卖方应自行选择适宜的运输工具及线路安排合同设备运输。</w:t>
      </w:r>
    </w:p>
    <w:p w14:paraId="7F0342F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5.3.2 除专用合同条款另有约定外，每件能够独立运行的设备应整套装运。该设备安装、调试、考核和运行所使用的备品、备件、易损易耗件等应随相关的主机一齐装运。</w:t>
      </w:r>
    </w:p>
    <w:p w14:paraId="7F0342F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5.3.3 除专用合同条款另有约定外，卖方应在合同设备预计启运 7 日前，将合同设备名称、数量、箱数、总毛重、总体积（用 m</w:t>
      </w:r>
      <w:r>
        <w:rPr>
          <w:rFonts w:hint="eastAsia" w:ascii="宋体" w:hAnsi="宋体" w:cs="宋体"/>
          <w:b w:val="0"/>
          <w:bCs/>
          <w:color w:val="auto"/>
          <w:szCs w:val="21"/>
          <w:highlight w:val="none"/>
          <w:vertAlign w:val="superscript"/>
        </w:rPr>
        <w:t>3</w:t>
      </w:r>
      <w:r>
        <w:rPr>
          <w:rFonts w:hint="eastAsia" w:ascii="宋体" w:hAnsi="宋体" w:cs="宋体"/>
          <w:b w:val="0"/>
          <w:bCs/>
          <w:color w:val="auto"/>
          <w:szCs w:val="21"/>
          <w:highlight w:val="none"/>
        </w:rPr>
        <w:t xml:space="preserve"> 表示）、每箱尺寸（长×宽×高）、装运合同设备总金额、运输方式、预计交付日期和合同设备在运输、装卸、保管中的注意事项等预通知买方，并在合同设备启运后 24 小时之内正式通知买方。</w:t>
      </w:r>
    </w:p>
    <w:p w14:paraId="7F0342F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7F0342F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5.4 交付</w:t>
      </w:r>
    </w:p>
    <w:p w14:paraId="7F0342F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7F0342F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5.4.2 合同设备的所有权和风险自交付时起由卖方转移至买方，合同设备交付给买方之前包括运输在内的所有风险均由卖方承担。</w:t>
      </w:r>
    </w:p>
    <w:p w14:paraId="7F0342F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 7 日内补齐丢失和（或）损坏的部分，但买方应向卖方支付合理的复制、邮寄费用。</w:t>
      </w:r>
    </w:p>
    <w:p w14:paraId="7F0342FE">
      <w:pPr>
        <w:pStyle w:val="101"/>
        <w:keepNext w:val="0"/>
        <w:keepLines w:val="0"/>
        <w:tabs>
          <w:tab w:val="left" w:pos="567"/>
        </w:tabs>
        <w:spacing w:before="156" w:after="156"/>
        <w:rPr>
          <w:rFonts w:ascii="宋体" w:hAnsi="宋体" w:eastAsia="宋体"/>
          <w:b w:val="0"/>
          <w:bCs/>
          <w:color w:val="auto"/>
          <w:sz w:val="32"/>
          <w:szCs w:val="32"/>
          <w:highlight w:val="none"/>
        </w:rPr>
      </w:pPr>
      <w:bookmarkStart w:id="652" w:name="_Toc16967"/>
      <w:bookmarkStart w:id="653" w:name="_Toc8331"/>
      <w:bookmarkStart w:id="654" w:name="_Toc10483"/>
      <w:bookmarkStart w:id="655" w:name="_Toc19740"/>
      <w:bookmarkStart w:id="656" w:name="_Toc20469"/>
      <w:bookmarkStart w:id="657" w:name="_Toc2751"/>
      <w:bookmarkStart w:id="658" w:name="_Toc2881585"/>
      <w:r>
        <w:rPr>
          <w:rFonts w:ascii="宋体" w:hAnsi="宋体" w:eastAsia="宋体"/>
          <w:b w:val="0"/>
          <w:bCs/>
          <w:color w:val="auto"/>
          <w:sz w:val="32"/>
          <w:szCs w:val="32"/>
          <w:highlight w:val="none"/>
        </w:rPr>
        <w:t>6.</w:t>
      </w:r>
      <w:bookmarkStart w:id="659" w:name="_Hlk2544388"/>
      <w:r>
        <w:rPr>
          <w:rFonts w:hint="eastAsia" w:ascii="宋体" w:hAnsi="宋体" w:eastAsia="宋体"/>
          <w:b w:val="0"/>
          <w:bCs/>
          <w:color w:val="auto"/>
          <w:sz w:val="32"/>
          <w:szCs w:val="32"/>
          <w:highlight w:val="none"/>
        </w:rPr>
        <w:t>开箱检验、安装、调试、考核、验收</w:t>
      </w:r>
      <w:bookmarkEnd w:id="652"/>
      <w:bookmarkEnd w:id="653"/>
      <w:bookmarkEnd w:id="654"/>
      <w:bookmarkEnd w:id="655"/>
      <w:bookmarkEnd w:id="656"/>
      <w:bookmarkEnd w:id="657"/>
      <w:bookmarkEnd w:id="658"/>
      <w:bookmarkEnd w:id="659"/>
    </w:p>
    <w:p w14:paraId="7F0342FF">
      <w:pPr>
        <w:tabs>
          <w:tab w:val="left" w:pos="1134"/>
        </w:tabs>
        <w:spacing w:line="360" w:lineRule="auto"/>
        <w:ind w:firstLine="420" w:firstLineChars="200"/>
        <w:rPr>
          <w:rFonts w:hint="eastAsia" w:ascii="宋体" w:hAnsi="宋体" w:cs="宋体"/>
          <w:b w:val="0"/>
          <w:bCs/>
          <w:color w:val="auto"/>
          <w:szCs w:val="21"/>
          <w:highlight w:val="none"/>
        </w:rPr>
      </w:pPr>
      <w:bookmarkStart w:id="660" w:name="_Hlk2544430"/>
      <w:r>
        <w:rPr>
          <w:rFonts w:hint="eastAsia" w:ascii="宋体" w:hAnsi="宋体" w:cs="宋体"/>
          <w:b w:val="0"/>
          <w:bCs/>
          <w:color w:val="auto"/>
          <w:szCs w:val="21"/>
          <w:highlight w:val="none"/>
        </w:rPr>
        <w:t>6.1 开箱检验</w:t>
      </w:r>
    </w:p>
    <w:p w14:paraId="7F03430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6.1.1 合同设备交付后应进行开箱检验，即合同设备数量及外观检验。开箱检验在专用合同条款约定的下列任一种时间进行：</w:t>
      </w:r>
    </w:p>
    <w:p w14:paraId="7F03430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bookmarkStart w:id="661" w:name="_Hlk2544566"/>
      <w:r>
        <w:rPr>
          <w:rFonts w:hint="eastAsia" w:ascii="宋体" w:hAnsi="宋体" w:cs="宋体"/>
          <w:b w:val="0"/>
          <w:bCs/>
          <w:color w:val="auto"/>
          <w:szCs w:val="21"/>
          <w:highlight w:val="none"/>
        </w:rPr>
        <w:t>合同设备交付时</w:t>
      </w:r>
      <w:bookmarkEnd w:id="661"/>
      <w:r>
        <w:rPr>
          <w:rFonts w:hint="eastAsia" w:ascii="宋体" w:hAnsi="宋体" w:cs="宋体"/>
          <w:b w:val="0"/>
          <w:bCs/>
          <w:color w:val="auto"/>
          <w:szCs w:val="21"/>
          <w:highlight w:val="none"/>
        </w:rPr>
        <w:t>；</w:t>
      </w:r>
    </w:p>
    <w:p w14:paraId="7F03430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bookmarkStart w:id="662" w:name="_Hlk2544586"/>
      <w:r>
        <w:rPr>
          <w:rFonts w:hint="eastAsia" w:ascii="宋体" w:hAnsi="宋体" w:cs="宋体"/>
          <w:b w:val="0"/>
          <w:bCs/>
          <w:color w:val="auto"/>
          <w:szCs w:val="21"/>
          <w:highlight w:val="none"/>
        </w:rPr>
        <w:t>合同设备交付后的一定期限内</w:t>
      </w:r>
      <w:bookmarkEnd w:id="662"/>
      <w:r>
        <w:rPr>
          <w:rFonts w:hint="eastAsia" w:ascii="宋体" w:hAnsi="宋体" w:cs="宋体"/>
          <w:b w:val="0"/>
          <w:bCs/>
          <w:color w:val="auto"/>
          <w:szCs w:val="21"/>
          <w:highlight w:val="none"/>
        </w:rPr>
        <w:t>。如开箱检验不在合同设备交付时进行，买方应在开箱检验 3 日前将开箱检验的时间和地点通知卖方。</w:t>
      </w:r>
    </w:p>
    <w:bookmarkEnd w:id="660"/>
    <w:p w14:paraId="7F03430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6.1.2 除专用合同条款另有约定外，合同设备的开箱检验应在施工场地进行。</w:t>
      </w:r>
    </w:p>
    <w:p w14:paraId="7F03430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6.1.3 开箱检验由买卖双方共同进行，卖方应自负费用派遣代表到场参加开箱检验。</w:t>
      </w:r>
    </w:p>
    <w:p w14:paraId="7F03430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6.1.4 在开箱检验中，买方和卖方应共同签署数量、外观检验报告，报告应列明检验结果，包括检验合格或发现的任何短缺、损坏或其它与合同约定不符的情形。</w:t>
      </w:r>
    </w:p>
    <w:p w14:paraId="7F03430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6.1.5 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7F03430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F03430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F03430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F03430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6.2 </w:t>
      </w:r>
      <w:bookmarkStart w:id="663" w:name="_Hlk2545099"/>
      <w:r>
        <w:rPr>
          <w:rFonts w:hint="eastAsia" w:ascii="宋体" w:hAnsi="宋体" w:cs="宋体"/>
          <w:b w:val="0"/>
          <w:bCs/>
          <w:color w:val="auto"/>
          <w:szCs w:val="21"/>
          <w:highlight w:val="none"/>
        </w:rPr>
        <w:t>安装、调试</w:t>
      </w:r>
    </w:p>
    <w:p w14:paraId="7F03430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6.2.1 开箱检验完成后，双方应对合同设备进行安装、调试，以使其具备考核的状态。安装、调试应按照专用合同条款约定的下列任一种方式进行：</w:t>
      </w:r>
    </w:p>
    <w:p w14:paraId="7F03430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（1）卖方按照合同约定完成合同设备的安装、调试工作；</w:t>
      </w:r>
    </w:p>
    <w:p w14:paraId="7F03430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663"/>
    <w:p w14:paraId="7F03430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6.2.2 除专用合同条款另有约定外，</w:t>
      </w:r>
      <w:bookmarkStart w:id="664" w:name="_Hlk2545657"/>
      <w:r>
        <w:rPr>
          <w:rFonts w:hint="eastAsia" w:ascii="宋体" w:hAnsi="宋体" w:cs="宋体"/>
          <w:b w:val="0"/>
          <w:bCs/>
          <w:color w:val="auto"/>
          <w:szCs w:val="21"/>
          <w:highlight w:val="none"/>
        </w:rPr>
        <w:t>安装、调试中合同设备运行需要的用水、用电、其他动力和原材料（如需要）等均由买方承担</w:t>
      </w:r>
      <w:bookmarkEnd w:id="664"/>
      <w:r>
        <w:rPr>
          <w:rFonts w:hint="eastAsia" w:ascii="宋体" w:hAnsi="宋体" w:cs="宋体"/>
          <w:b w:val="0"/>
          <w:bCs/>
          <w:color w:val="auto"/>
          <w:szCs w:val="21"/>
          <w:highlight w:val="none"/>
        </w:rPr>
        <w:t>。</w:t>
      </w:r>
    </w:p>
    <w:p w14:paraId="7F03430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6.2.3 双方应对合同设备的安装、调试情况共同及时进行记录。</w:t>
      </w:r>
    </w:p>
    <w:p w14:paraId="7F03431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 考核</w:t>
      </w:r>
    </w:p>
    <w:p w14:paraId="7F03431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7F03431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6.3.2 如由于卖方原因合同设备在考核中未能达到合同约定的技术性能考核指标，则卖方应在双方同意的期限内采取措施消除合同设备中存在的缺陷，并在缺陷消除以后，尽快进行再次考核。</w:t>
      </w:r>
    </w:p>
    <w:p w14:paraId="7F03431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7F03431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6.3.4 如由于买方原因合同设备在考核中未能达到合同约定的技术性能考核指标，则卖方应协助买方安排再次考核。由于买方原因未能达到技术性能考核指标时，为买方进行考核的机会不超过三次。</w:t>
      </w:r>
    </w:p>
    <w:p w14:paraId="7F03431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6.3.5 考核期间，双方应及时共同记录合同设备的用水、用电、其他动力和原材料（如有）的使用及设备考核情况。对于未达到技术性能考核指标的，应如实记录设备表现、可能原因及处理情况等。</w:t>
      </w:r>
    </w:p>
    <w:p w14:paraId="7F03431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 验收</w:t>
      </w:r>
    </w:p>
    <w:p w14:paraId="7F03431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7F03431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6.4.2 如由于买方原因合同设备在三次考核中均未能达到技术性能考核指标，买卖双方应在考核结束后 7 日内或专用合同条款另行约定的时间内签署验收款支付函。</w:t>
      </w:r>
    </w:p>
    <w:p w14:paraId="7F03431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除专用合同条款另有约定外，卖方有义务在验收款支付函签署后 12 个月内应买方要求提供相关技术服务，协助买方采取一切必要措施使合同设备达到技术性能考核指标。买方应承担卖方因此产生的全部费用。</w:t>
      </w:r>
    </w:p>
    <w:p w14:paraId="7F03431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在上述 12 个月的期限内，如合同设备经过考核达到或视为达到技术性能考核指标，则买卖双方应按照第 6.4.1 项的约定签署合同设备验收证书。</w:t>
      </w:r>
    </w:p>
    <w:p w14:paraId="7F03431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6.4.3 除专用合同条款另有约定外，如由于买方原因在最后一批合同设备交货后 6 个月内未能开始考核，则买卖双方应在上述期限届满后 7 日内或专用合同条款另行约定的时间内签署验收款支付函。</w:t>
      </w:r>
    </w:p>
    <w:p w14:paraId="7F03431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7F03431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在上述 6 个月的期限内，如合同设备经过考核达到或视为达到技术性能考核指标，则买卖双方应按照第 6.4.1 项的约定签署合同设备验收证书。</w:t>
      </w:r>
    </w:p>
    <w:p w14:paraId="7F03431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6.4.4 在第 6.4.2 项和第 6.4.3 项情形下，卖方也可单方签署验收款支付函提交买方，如果买方在收到卖方签署的验收款支付函后 14 日内未向卖方提出书面异议，则验收款支付函自签署之日起生效。</w:t>
      </w:r>
    </w:p>
    <w:p w14:paraId="7F03431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6.4.5 合同设备验收证书的签署不能免除卖方在质量保证期内对合同设备应承担的保证责任。</w:t>
      </w:r>
    </w:p>
    <w:p w14:paraId="7F034320">
      <w:pPr>
        <w:pStyle w:val="101"/>
        <w:keepNext w:val="0"/>
        <w:keepLines w:val="0"/>
        <w:tabs>
          <w:tab w:val="left" w:pos="567"/>
        </w:tabs>
        <w:spacing w:before="156" w:after="156"/>
        <w:rPr>
          <w:rFonts w:ascii="宋体" w:hAnsi="宋体" w:eastAsia="宋体"/>
          <w:b w:val="0"/>
          <w:bCs/>
          <w:color w:val="auto"/>
          <w:sz w:val="32"/>
          <w:szCs w:val="32"/>
          <w:highlight w:val="none"/>
        </w:rPr>
      </w:pPr>
      <w:bookmarkStart w:id="665" w:name="_Toc21092"/>
      <w:bookmarkStart w:id="666" w:name="_Toc24465"/>
      <w:bookmarkStart w:id="667" w:name="_Toc31630"/>
      <w:bookmarkStart w:id="668" w:name="_Toc12705"/>
      <w:bookmarkStart w:id="669" w:name="_Toc2881586"/>
      <w:bookmarkStart w:id="670" w:name="_Toc32395"/>
      <w:bookmarkStart w:id="671" w:name="_Toc9440"/>
      <w:r>
        <w:rPr>
          <w:rFonts w:hint="eastAsia" w:ascii="宋体" w:hAnsi="宋体" w:eastAsia="宋体"/>
          <w:b w:val="0"/>
          <w:bCs/>
          <w:color w:val="auto"/>
          <w:sz w:val="32"/>
          <w:szCs w:val="32"/>
          <w:highlight w:val="none"/>
        </w:rPr>
        <w:t>7.技术服务</w:t>
      </w:r>
      <w:bookmarkEnd w:id="665"/>
      <w:bookmarkEnd w:id="666"/>
      <w:bookmarkEnd w:id="667"/>
      <w:bookmarkEnd w:id="668"/>
      <w:bookmarkEnd w:id="669"/>
      <w:bookmarkEnd w:id="670"/>
      <w:bookmarkEnd w:id="671"/>
    </w:p>
    <w:p w14:paraId="7F03432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7.1 卖方应派遣技术熟练、称职的技术人员到施工场地为买方提供技术服务。卖方的技术服务应符合合同的约定。</w:t>
      </w:r>
    </w:p>
    <w:p w14:paraId="7F03432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7.2 买方应免费为卖方技术人员提供工作条件及便利，包括但不限于必要的办公场所、技术资料及出入许可等。除专用合同条款另有约定外，卖方技术人员的交通、食宿费用由卖方承担。</w:t>
      </w:r>
    </w:p>
    <w:p w14:paraId="7F03432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7.3 卖方技术人员应遵守买方施工现场的各项规章制度和安全操作规程，并服从买方的现场管理。</w:t>
      </w:r>
    </w:p>
    <w:p w14:paraId="7F03432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7.4 如果任何技术人员不合格，买方有权要求卖方撤换，因撤换而产生的费用应由卖方承担。在不影响技术服务并且征得买方同意的条件下，卖方也可自负费用更换其技术人员。</w:t>
      </w:r>
    </w:p>
    <w:p w14:paraId="7F034325">
      <w:pPr>
        <w:pStyle w:val="101"/>
        <w:keepNext w:val="0"/>
        <w:keepLines w:val="0"/>
        <w:tabs>
          <w:tab w:val="left" w:pos="567"/>
        </w:tabs>
        <w:spacing w:before="156" w:after="156"/>
        <w:rPr>
          <w:rFonts w:ascii="宋体" w:hAnsi="宋体" w:eastAsia="宋体"/>
          <w:b w:val="0"/>
          <w:bCs/>
          <w:color w:val="auto"/>
          <w:sz w:val="32"/>
          <w:szCs w:val="32"/>
          <w:highlight w:val="none"/>
        </w:rPr>
      </w:pPr>
      <w:bookmarkStart w:id="672" w:name="_Toc27126"/>
      <w:bookmarkStart w:id="673" w:name="_Toc20552"/>
      <w:bookmarkStart w:id="674" w:name="_Toc2881587"/>
      <w:bookmarkStart w:id="675" w:name="_Toc22441"/>
      <w:bookmarkStart w:id="676" w:name="_Toc7127"/>
      <w:bookmarkStart w:id="677" w:name="_Toc16938"/>
      <w:bookmarkStart w:id="678" w:name="_Toc22376"/>
      <w:r>
        <w:rPr>
          <w:rFonts w:hint="eastAsia" w:ascii="宋体" w:hAnsi="宋体" w:eastAsia="宋体"/>
          <w:b w:val="0"/>
          <w:bCs/>
          <w:color w:val="auto"/>
          <w:sz w:val="32"/>
          <w:szCs w:val="32"/>
          <w:highlight w:val="none"/>
        </w:rPr>
        <w:t>8.质量保证期</w:t>
      </w:r>
      <w:bookmarkEnd w:id="672"/>
      <w:bookmarkEnd w:id="673"/>
      <w:bookmarkEnd w:id="674"/>
      <w:bookmarkEnd w:id="675"/>
      <w:bookmarkEnd w:id="676"/>
      <w:bookmarkEnd w:id="677"/>
      <w:bookmarkEnd w:id="678"/>
    </w:p>
    <w:p w14:paraId="7F03432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 12 个月。在合同第 6.4.3 项情形下，无论合同设备何时验收，其质量保证期最长为签署验收款支付函后 6 个月。</w:t>
      </w:r>
    </w:p>
    <w:p w14:paraId="7F03432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8.2 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7F03432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8.3 质量保证期届满后，买方应在 7 日内或专用合同条款另行约定的时间内向卖方出具合同设备的质量保证期届满证书。</w:t>
      </w:r>
    </w:p>
    <w:p w14:paraId="7F03432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7F03432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7F03432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8.6 在第 8.4 款和第 8.5 款情形下，卖方也可单方签署结清款支付函提交买方，如果买方在收到卖方签署的结清款支付函后 14 日内未向卖方提出书面异议，则结清款支付函自签署之日起生效。</w:t>
      </w:r>
    </w:p>
    <w:p w14:paraId="7F03432C">
      <w:pPr>
        <w:pStyle w:val="101"/>
        <w:keepNext w:val="0"/>
        <w:keepLines w:val="0"/>
        <w:tabs>
          <w:tab w:val="left" w:pos="567"/>
        </w:tabs>
        <w:spacing w:before="156" w:after="156"/>
        <w:rPr>
          <w:rFonts w:ascii="宋体" w:hAnsi="宋体" w:eastAsia="宋体"/>
          <w:b w:val="0"/>
          <w:bCs/>
          <w:color w:val="auto"/>
          <w:sz w:val="32"/>
          <w:szCs w:val="32"/>
          <w:highlight w:val="none"/>
        </w:rPr>
      </w:pPr>
      <w:bookmarkStart w:id="679" w:name="_Toc1552"/>
      <w:bookmarkStart w:id="680" w:name="_Toc30016"/>
      <w:bookmarkStart w:id="681" w:name="_Toc15785"/>
      <w:bookmarkStart w:id="682" w:name="_Toc10481"/>
      <w:bookmarkStart w:id="683" w:name="_Toc6690"/>
      <w:bookmarkStart w:id="684" w:name="_Toc12830"/>
      <w:bookmarkStart w:id="685" w:name="_Toc2881588"/>
      <w:r>
        <w:rPr>
          <w:rFonts w:ascii="宋体" w:hAnsi="宋体" w:eastAsia="宋体"/>
          <w:b w:val="0"/>
          <w:bCs/>
          <w:color w:val="auto"/>
          <w:sz w:val="32"/>
          <w:szCs w:val="32"/>
          <w:highlight w:val="none"/>
        </w:rPr>
        <w:t>9.</w:t>
      </w:r>
      <w:r>
        <w:rPr>
          <w:rFonts w:hint="eastAsia" w:ascii="宋体" w:hAnsi="宋体" w:eastAsia="宋体"/>
          <w:b w:val="0"/>
          <w:bCs/>
          <w:color w:val="auto"/>
          <w:sz w:val="32"/>
          <w:szCs w:val="32"/>
          <w:highlight w:val="none"/>
        </w:rPr>
        <w:t>质量保证期服务</w:t>
      </w:r>
      <w:bookmarkEnd w:id="679"/>
      <w:bookmarkEnd w:id="680"/>
      <w:bookmarkEnd w:id="681"/>
      <w:bookmarkEnd w:id="682"/>
      <w:bookmarkEnd w:id="683"/>
      <w:bookmarkEnd w:id="684"/>
      <w:bookmarkEnd w:id="685"/>
    </w:p>
    <w:p w14:paraId="7F03432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7F03432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7F03432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9.3 如果任何技术人员不合格，买方有权要求卖方撤换，因撤换而产生的费用应由卖方承担。在不影响质量保证期服务并且征得买方同意的条件下，卖方也可自负费用更换其技术人员。</w:t>
      </w:r>
    </w:p>
    <w:p w14:paraId="7F03433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9.4 除专用合同条款另有约定外，卖方应就在施工现场进行质量保证期服务的情况进行记录，记载合同设备故障发生的时间、原因及解决情况等，由买方签字确认，并在质量保证期结束后提交给买方。</w:t>
      </w:r>
    </w:p>
    <w:p w14:paraId="7F034331">
      <w:pPr>
        <w:pStyle w:val="101"/>
        <w:keepNext w:val="0"/>
        <w:keepLines w:val="0"/>
        <w:tabs>
          <w:tab w:val="left" w:pos="567"/>
        </w:tabs>
        <w:spacing w:before="156" w:after="156"/>
        <w:rPr>
          <w:rFonts w:ascii="宋体" w:hAnsi="宋体" w:eastAsia="宋体"/>
          <w:b w:val="0"/>
          <w:bCs/>
          <w:color w:val="auto"/>
          <w:sz w:val="32"/>
          <w:szCs w:val="32"/>
          <w:highlight w:val="none"/>
        </w:rPr>
      </w:pPr>
      <w:bookmarkStart w:id="686" w:name="_Toc2881589"/>
      <w:bookmarkStart w:id="687" w:name="_Toc29560"/>
      <w:bookmarkStart w:id="688" w:name="_Toc29670"/>
      <w:bookmarkStart w:id="689" w:name="_Toc11052"/>
      <w:bookmarkStart w:id="690" w:name="_Toc27268"/>
      <w:bookmarkStart w:id="691" w:name="_Toc15312"/>
      <w:bookmarkStart w:id="692" w:name="_Toc17161"/>
      <w:r>
        <w:rPr>
          <w:rFonts w:hint="eastAsia" w:ascii="宋体" w:hAnsi="宋体" w:eastAsia="宋体"/>
          <w:b w:val="0"/>
          <w:bCs/>
          <w:color w:val="auto"/>
          <w:sz w:val="32"/>
          <w:szCs w:val="32"/>
          <w:highlight w:val="none"/>
        </w:rPr>
        <w:t>10.履约保证金</w:t>
      </w:r>
      <w:bookmarkEnd w:id="686"/>
      <w:bookmarkEnd w:id="687"/>
      <w:bookmarkEnd w:id="688"/>
      <w:bookmarkEnd w:id="689"/>
      <w:bookmarkEnd w:id="690"/>
      <w:bookmarkEnd w:id="691"/>
      <w:bookmarkEnd w:id="692"/>
    </w:p>
    <w:p w14:paraId="7F03433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7F034333">
      <w:pPr>
        <w:pStyle w:val="101"/>
        <w:keepNext w:val="0"/>
        <w:keepLines w:val="0"/>
        <w:tabs>
          <w:tab w:val="left" w:pos="567"/>
        </w:tabs>
        <w:spacing w:before="156" w:after="156"/>
        <w:rPr>
          <w:rFonts w:ascii="宋体" w:hAnsi="宋体" w:eastAsia="宋体"/>
          <w:b w:val="0"/>
          <w:bCs/>
          <w:color w:val="auto"/>
          <w:sz w:val="32"/>
          <w:szCs w:val="32"/>
          <w:highlight w:val="none"/>
        </w:rPr>
      </w:pPr>
      <w:bookmarkStart w:id="693" w:name="_Toc12371"/>
      <w:bookmarkStart w:id="694" w:name="_Toc19263"/>
      <w:bookmarkStart w:id="695" w:name="_Toc2881590"/>
      <w:bookmarkStart w:id="696" w:name="_Toc19274"/>
      <w:bookmarkStart w:id="697" w:name="_Toc26976"/>
      <w:bookmarkStart w:id="698" w:name="_Toc31004"/>
      <w:bookmarkStart w:id="699" w:name="_Toc32146"/>
      <w:r>
        <w:rPr>
          <w:rFonts w:hint="eastAsia" w:ascii="宋体" w:hAnsi="宋体" w:eastAsia="宋体"/>
          <w:b w:val="0"/>
          <w:bCs/>
          <w:color w:val="auto"/>
          <w:sz w:val="32"/>
          <w:szCs w:val="32"/>
          <w:highlight w:val="none"/>
        </w:rPr>
        <w:t>11.保证</w:t>
      </w:r>
      <w:bookmarkEnd w:id="693"/>
      <w:bookmarkEnd w:id="694"/>
      <w:bookmarkEnd w:id="695"/>
      <w:bookmarkEnd w:id="696"/>
      <w:bookmarkEnd w:id="697"/>
      <w:bookmarkEnd w:id="698"/>
      <w:bookmarkEnd w:id="699"/>
    </w:p>
    <w:p w14:paraId="7F03433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 卖方保证其具有完全的能力履行本合同项下的全部义务。</w:t>
      </w:r>
    </w:p>
    <w:p w14:paraId="7F03433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11.2 卖方保证其所提供的合同设备及对合同的履行符合所有应适用的法律、行政法规、地方性法规、自治条例和单行条例、规章及其他规范性文件的强制性规定。</w:t>
      </w:r>
    </w:p>
    <w:p w14:paraId="7F03433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11.3 卖方保证其对合同设备的销售不损害任何第三方的合法权益和社会公众利益。任何第三方不会因卖方原因而基于所有权、抵押权、留置权或其他任何权利或事由对合同设备主张权利。</w:t>
      </w:r>
    </w:p>
    <w:p w14:paraId="7F03433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11.4 卖方保证合同设备符合合同约定的规格、标准、技术性能考核指标等，能够安全和稳定地运行，且合同设备（包括全部部件）全新、完整、未使用过，除非专用合同条款和（或）供货要求等合同文件另有约定。</w:t>
      </w:r>
    </w:p>
    <w:p w14:paraId="7F03433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11.5 卖方保证，卖方所提供的技术资料完整、清晰、准确，符合合同约定并且能够满足合同设备的安装、调试、考核、操作以及维修和保养的需要。</w:t>
      </w:r>
    </w:p>
    <w:p w14:paraId="7F03433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11.6 卖方保证合同范围内提供的备品备件能够满足合同设备在质量保证期结束前正常运行及维修的需要，如在质量保证期结束前因卖方原因出现备品备件短缺影响合同设备正常运行的，卖方应免费提供。</w:t>
      </w:r>
    </w:p>
    <w:p w14:paraId="7F03433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11.7 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7F03433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（1）以不高于同期市场价格或其向任何第三方销售同类产品的价格提供合同设备正常运行所需的全部备品备件。</w:t>
      </w:r>
    </w:p>
    <w:p w14:paraId="7F03433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7F03433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11.8 卖方保证，在合同设备设计使用寿命期内，如果卖方发现合同设备由于设计、制造、标识等原因存在足以危及人身、财产安全的缺陷，卖方将及时通知买方并及时采取修正或者补充标识、修理、更换等措施消除缺陷。</w:t>
      </w:r>
    </w:p>
    <w:p w14:paraId="7F03433E">
      <w:pPr>
        <w:pStyle w:val="101"/>
        <w:keepNext w:val="0"/>
        <w:keepLines w:val="0"/>
        <w:tabs>
          <w:tab w:val="left" w:pos="567"/>
        </w:tabs>
        <w:spacing w:before="156" w:after="156"/>
        <w:rPr>
          <w:rFonts w:ascii="宋体" w:hAnsi="宋体" w:eastAsia="宋体"/>
          <w:b w:val="0"/>
          <w:bCs/>
          <w:color w:val="auto"/>
          <w:sz w:val="32"/>
          <w:szCs w:val="32"/>
          <w:highlight w:val="none"/>
        </w:rPr>
      </w:pPr>
      <w:bookmarkStart w:id="700" w:name="_Toc25468"/>
      <w:bookmarkStart w:id="701" w:name="_Toc3192"/>
      <w:bookmarkStart w:id="702" w:name="_Toc2881591"/>
      <w:bookmarkStart w:id="703" w:name="_Toc9929"/>
      <w:bookmarkStart w:id="704" w:name="_Toc32343"/>
      <w:bookmarkStart w:id="705" w:name="_Toc16563"/>
      <w:bookmarkStart w:id="706" w:name="_Toc16903"/>
      <w:r>
        <w:rPr>
          <w:rFonts w:hint="eastAsia" w:ascii="宋体" w:hAnsi="宋体" w:eastAsia="宋体"/>
          <w:b w:val="0"/>
          <w:bCs/>
          <w:color w:val="auto"/>
          <w:sz w:val="32"/>
          <w:szCs w:val="32"/>
          <w:highlight w:val="none"/>
        </w:rPr>
        <w:t>12.知识产权</w:t>
      </w:r>
      <w:bookmarkEnd w:id="700"/>
      <w:bookmarkEnd w:id="701"/>
      <w:bookmarkEnd w:id="702"/>
      <w:bookmarkEnd w:id="703"/>
      <w:bookmarkEnd w:id="704"/>
      <w:bookmarkEnd w:id="705"/>
      <w:bookmarkEnd w:id="706"/>
    </w:p>
    <w:p w14:paraId="7F03433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12.1 买方在履行合同过程中提供给卖方的全部图纸、文件和其他含有数据和信息的资料，其知识产权属于买方。</w:t>
      </w:r>
    </w:p>
    <w:p w14:paraId="7F03434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12.2 除专用合同条款另有约定外，买方不因签署和履行合同而享有卖方在履行合同过程中提供给买方的图纸、文件、配套软件、电子辅助程序和其他含有数据和信息的资料的知识产权。</w:t>
      </w:r>
    </w:p>
    <w:p w14:paraId="7F03434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12.3 如合同设备涉及知识产权，则卖方保证买方在使用合同设备过程中免于受到第三方提出的有关知识产权侵权的主张、索赔或诉讼的伤害。</w:t>
      </w:r>
    </w:p>
    <w:p w14:paraId="7F03434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12.4 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F034343">
      <w:pPr>
        <w:pStyle w:val="101"/>
        <w:keepNext w:val="0"/>
        <w:keepLines w:val="0"/>
        <w:tabs>
          <w:tab w:val="left" w:pos="567"/>
        </w:tabs>
        <w:spacing w:before="156" w:after="156"/>
        <w:rPr>
          <w:rFonts w:ascii="宋体" w:hAnsi="宋体" w:eastAsia="宋体"/>
          <w:b w:val="0"/>
          <w:bCs/>
          <w:color w:val="auto"/>
          <w:sz w:val="32"/>
          <w:szCs w:val="32"/>
          <w:highlight w:val="none"/>
        </w:rPr>
      </w:pPr>
      <w:bookmarkStart w:id="707" w:name="_Toc19253"/>
      <w:bookmarkStart w:id="708" w:name="_Toc2881592"/>
      <w:bookmarkStart w:id="709" w:name="_Toc30790"/>
      <w:bookmarkStart w:id="710" w:name="_Toc18260"/>
      <w:bookmarkStart w:id="711" w:name="_Toc15409"/>
      <w:bookmarkStart w:id="712" w:name="_Toc14021"/>
      <w:bookmarkStart w:id="713" w:name="_Toc26033"/>
      <w:r>
        <w:rPr>
          <w:rFonts w:hint="eastAsia" w:ascii="宋体" w:hAnsi="宋体" w:eastAsia="宋体"/>
          <w:b w:val="0"/>
          <w:bCs/>
          <w:color w:val="auto"/>
          <w:sz w:val="32"/>
          <w:szCs w:val="32"/>
          <w:highlight w:val="none"/>
        </w:rPr>
        <w:t>13.保密</w:t>
      </w:r>
      <w:bookmarkEnd w:id="707"/>
      <w:bookmarkEnd w:id="708"/>
      <w:bookmarkEnd w:id="709"/>
      <w:bookmarkEnd w:id="710"/>
      <w:bookmarkEnd w:id="711"/>
      <w:bookmarkEnd w:id="712"/>
      <w:bookmarkEnd w:id="713"/>
    </w:p>
    <w:p w14:paraId="7F03434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合同双方应对因履行合同而取得的另一方当事人的信息、资料等予以保密。未经另一方当事人书面同意，任何一方均不得为与履行合同无关的目的使用或向第三方披露另一方当事人提供的信息、资料。</w:t>
      </w:r>
    </w:p>
    <w:p w14:paraId="7F03434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合同当事人的保密义务不适用于下列信息：</w:t>
      </w:r>
    </w:p>
    <w:p w14:paraId="7F03434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（1）非因接受信息一方的过失现在或以后进入公共领域的信息；</w:t>
      </w:r>
    </w:p>
    <w:p w14:paraId="7F03434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（2）接受信息一方当事人合法地从第三方获得并且据其善意了解第三方也不对此承担保密义务的信息；</w:t>
      </w:r>
    </w:p>
    <w:p w14:paraId="7F03434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（3）法律或法律的执行要求披露的信息。</w:t>
      </w:r>
    </w:p>
    <w:p w14:paraId="7F034349">
      <w:pPr>
        <w:pStyle w:val="101"/>
        <w:keepNext w:val="0"/>
        <w:keepLines w:val="0"/>
        <w:tabs>
          <w:tab w:val="left" w:pos="567"/>
        </w:tabs>
        <w:spacing w:before="156" w:after="156"/>
        <w:rPr>
          <w:rFonts w:ascii="宋体" w:hAnsi="宋体" w:eastAsia="宋体"/>
          <w:b w:val="0"/>
          <w:bCs/>
          <w:color w:val="auto"/>
          <w:sz w:val="32"/>
          <w:szCs w:val="32"/>
          <w:highlight w:val="none"/>
        </w:rPr>
      </w:pPr>
      <w:bookmarkStart w:id="714" w:name="_Toc16422"/>
      <w:bookmarkStart w:id="715" w:name="_Toc17398"/>
      <w:bookmarkStart w:id="716" w:name="_Toc1836"/>
      <w:bookmarkStart w:id="717" w:name="_Toc2881593"/>
      <w:bookmarkStart w:id="718" w:name="_Toc28006"/>
      <w:bookmarkStart w:id="719" w:name="_Toc15738"/>
      <w:bookmarkStart w:id="720" w:name="_Toc4859"/>
      <w:r>
        <w:rPr>
          <w:rFonts w:hint="eastAsia" w:ascii="宋体" w:hAnsi="宋体" w:eastAsia="宋体"/>
          <w:b w:val="0"/>
          <w:bCs/>
          <w:color w:val="auto"/>
          <w:sz w:val="32"/>
          <w:szCs w:val="32"/>
          <w:highlight w:val="none"/>
        </w:rPr>
        <w:t>14.违约责任</w:t>
      </w:r>
      <w:bookmarkEnd w:id="714"/>
      <w:bookmarkEnd w:id="715"/>
      <w:bookmarkEnd w:id="716"/>
      <w:bookmarkEnd w:id="717"/>
      <w:bookmarkEnd w:id="718"/>
      <w:bookmarkEnd w:id="719"/>
      <w:bookmarkEnd w:id="720"/>
    </w:p>
    <w:p w14:paraId="7F03434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14.1 合同一方不履行合同义务、履行合同义务不符合约定或者违反合同项下所作保证的，应向对方承担继续履行、采取修理、更换、退货等补救措施或者赔偿损失等违约责任。</w:t>
      </w:r>
    </w:p>
    <w:p w14:paraId="7F03434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14.2 卖方未能按时交付合同设备（包括仅迟延交付技术资料但足以导致合同设备安装、调 试、考核、验收工作推迟的）的，应向买方支付迟延交付违约金。除专用合同条款另有约定外，迟延交付违约金的计算方法如下：</w:t>
      </w:r>
    </w:p>
    <w:p w14:paraId="7F03434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（1）从迟交的第一周到第四周，每周迟延交付违约金为迟交合同设备价格的 0.5%；</w:t>
      </w:r>
    </w:p>
    <w:p w14:paraId="7F03434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（2）从迟交的第五周到第八周，每周迟延交付违约金为迟交合同设备价格的 1%；</w:t>
      </w:r>
    </w:p>
    <w:p w14:paraId="7F03434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（3）从迟交第九周起，每周迟延交付违约金为迟交合同设备价格的 1.5%。在计算迟延交付违约金时，迟交不足一周的按一周计算。迟延交付违约金的总额不得超过合同价格的10%。迟延交付违约金的支付不能免除卖方继续交付相关合同设备的义务，但如迟延交付必然导致合同设备安装、调试、考核、验收工作推迟的，相关工作应相应顺延。</w:t>
      </w:r>
    </w:p>
    <w:p w14:paraId="7F03434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14.3 买方未能按合同约定支付合同价款的，应向卖方支付延迟付款违约金。除专用合同条款另有约定外，迟延付款违约金的计算方法如下：</w:t>
      </w:r>
    </w:p>
    <w:p w14:paraId="7F03435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（1）从迟付的第一周到第四周，每周迟延付款违约金为迟延付款金额的 0.5%；</w:t>
      </w:r>
    </w:p>
    <w:p w14:paraId="7F03435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（2）从迟付的第五周到第八周，每周迟延付款违约金为迟延付款金额的 1%；</w:t>
      </w:r>
    </w:p>
    <w:p w14:paraId="7F03435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（3）从迟付第九周起，每周迟延付款违约金为迟延付款金额的 1.5%。在计算迟延付款违约金时，迟付不足一周的按一周计算。迟延付款违约金的总额不得超过合同价格的 10%。</w:t>
      </w:r>
    </w:p>
    <w:p w14:paraId="7F034353">
      <w:pPr>
        <w:pStyle w:val="101"/>
        <w:keepNext w:val="0"/>
        <w:keepLines w:val="0"/>
        <w:tabs>
          <w:tab w:val="left" w:pos="567"/>
        </w:tabs>
        <w:spacing w:before="156" w:after="156"/>
        <w:rPr>
          <w:rFonts w:ascii="宋体" w:hAnsi="宋体" w:eastAsia="宋体"/>
          <w:b w:val="0"/>
          <w:bCs/>
          <w:color w:val="auto"/>
          <w:sz w:val="32"/>
          <w:szCs w:val="32"/>
          <w:highlight w:val="none"/>
        </w:rPr>
      </w:pPr>
      <w:bookmarkStart w:id="721" w:name="_Toc25260"/>
      <w:bookmarkStart w:id="722" w:name="_Toc14410"/>
      <w:bookmarkStart w:id="723" w:name="_Toc13948"/>
      <w:bookmarkStart w:id="724" w:name="_Toc18597"/>
      <w:bookmarkStart w:id="725" w:name="_Toc2881594"/>
      <w:bookmarkStart w:id="726" w:name="_Toc15866"/>
      <w:bookmarkStart w:id="727" w:name="_Toc31553"/>
      <w:r>
        <w:rPr>
          <w:rFonts w:hint="eastAsia" w:ascii="宋体" w:hAnsi="宋体" w:eastAsia="宋体"/>
          <w:b w:val="0"/>
          <w:bCs/>
          <w:color w:val="auto"/>
          <w:sz w:val="32"/>
          <w:szCs w:val="32"/>
          <w:highlight w:val="none"/>
        </w:rPr>
        <w:t>15.合同的解除</w:t>
      </w:r>
      <w:bookmarkEnd w:id="721"/>
      <w:bookmarkEnd w:id="722"/>
      <w:bookmarkEnd w:id="723"/>
      <w:bookmarkEnd w:id="724"/>
      <w:bookmarkEnd w:id="725"/>
      <w:bookmarkEnd w:id="726"/>
      <w:bookmarkEnd w:id="727"/>
    </w:p>
    <w:p w14:paraId="7F03435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除专用合同条款另有约定外，有下述情形之一，当事人可发出书面通知全部或部分地解除合同，合同自通知到达对方时全部或部分地解除：</w:t>
      </w:r>
    </w:p>
    <w:p w14:paraId="7F03435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（1）卖方迟延交付合同设备超过 3 个月；</w:t>
      </w:r>
    </w:p>
    <w:p w14:paraId="7F03435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7F03435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（3）买方迟延付款超过 3 个月；</w:t>
      </w:r>
    </w:p>
    <w:p w14:paraId="7F03435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（4）合同一方当事人未能履行合同项下任何其它义务（细微义务除外），或在未事先征得另一方当事人同意的情况下，从事任何可能在实质上不利影响其履行合同能力的活动，经另一方当事人书面通知后 14 日内或在专用合同条款约定的其他期限内未能对其行为作出补救；</w:t>
      </w:r>
    </w:p>
    <w:p w14:paraId="7F03435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（5）合同一方当事人出现破产、清算、资不抵债、成为失信被执行人等可能丧失履约能力的情形，且未能提供令对方满意的履约保证金。</w:t>
      </w:r>
    </w:p>
    <w:p w14:paraId="7F03435A">
      <w:pPr>
        <w:pStyle w:val="101"/>
        <w:keepNext w:val="0"/>
        <w:keepLines w:val="0"/>
        <w:tabs>
          <w:tab w:val="left" w:pos="567"/>
        </w:tabs>
        <w:spacing w:before="156" w:after="156"/>
        <w:rPr>
          <w:rFonts w:ascii="宋体" w:hAnsi="宋体" w:eastAsia="宋体"/>
          <w:b w:val="0"/>
          <w:bCs/>
          <w:color w:val="auto"/>
          <w:sz w:val="32"/>
          <w:szCs w:val="32"/>
          <w:highlight w:val="none"/>
        </w:rPr>
      </w:pPr>
      <w:bookmarkStart w:id="728" w:name="_Toc1809"/>
      <w:bookmarkStart w:id="729" w:name="_Toc26267"/>
      <w:bookmarkStart w:id="730" w:name="_Toc28995"/>
      <w:bookmarkStart w:id="731" w:name="_Toc2881595"/>
      <w:bookmarkStart w:id="732" w:name="_Toc22797"/>
      <w:bookmarkStart w:id="733" w:name="_Toc31448"/>
      <w:bookmarkStart w:id="734" w:name="_Toc4332"/>
      <w:r>
        <w:rPr>
          <w:rFonts w:hint="eastAsia" w:ascii="宋体" w:hAnsi="宋体" w:eastAsia="宋体"/>
          <w:b w:val="0"/>
          <w:bCs/>
          <w:color w:val="auto"/>
          <w:sz w:val="32"/>
          <w:szCs w:val="32"/>
          <w:highlight w:val="none"/>
        </w:rPr>
        <w:t>16.不可抗力</w:t>
      </w:r>
      <w:bookmarkEnd w:id="728"/>
      <w:bookmarkEnd w:id="729"/>
      <w:bookmarkEnd w:id="730"/>
      <w:bookmarkEnd w:id="731"/>
      <w:bookmarkEnd w:id="732"/>
      <w:bookmarkEnd w:id="733"/>
      <w:bookmarkEnd w:id="734"/>
    </w:p>
    <w:p w14:paraId="7F03435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16.1 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 28 日内将有关当局或机构出具的证明文件提交给另一方当事人。</w:t>
      </w:r>
    </w:p>
    <w:p w14:paraId="7F03435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16.2 受不可抗力事件影响的一方当事人对于不可抗力事件导致的任何合同义务的迟延履行或不能履行不承担违约责任。但该方当事人应尽快将不可抗力事件结束或消除的情况通知另一方当事人。</w:t>
      </w:r>
    </w:p>
    <w:p w14:paraId="7F03435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16.3 双方当事人应在不可抗力事件结束或其影响消除后立即继续履行其合同义务，合同期限也应相应顺延。除专用合同条款另有约定外，如果不可抗力事件的影响持续超过 140 日，则任何一方当事人均有权以书面通知解除合同。</w:t>
      </w:r>
    </w:p>
    <w:p w14:paraId="7F03435E">
      <w:pPr>
        <w:pStyle w:val="101"/>
        <w:keepNext w:val="0"/>
        <w:keepLines w:val="0"/>
        <w:tabs>
          <w:tab w:val="left" w:pos="567"/>
        </w:tabs>
        <w:spacing w:before="156" w:after="156"/>
        <w:rPr>
          <w:rFonts w:ascii="宋体" w:hAnsi="宋体" w:eastAsia="宋体"/>
          <w:b w:val="0"/>
          <w:bCs/>
          <w:color w:val="auto"/>
          <w:sz w:val="32"/>
          <w:szCs w:val="32"/>
          <w:highlight w:val="none"/>
        </w:rPr>
      </w:pPr>
      <w:bookmarkStart w:id="735" w:name="_Toc20272"/>
      <w:bookmarkStart w:id="736" w:name="_Toc8951"/>
      <w:bookmarkStart w:id="737" w:name="_Toc2881596"/>
      <w:bookmarkStart w:id="738" w:name="_Toc19430"/>
      <w:bookmarkStart w:id="739" w:name="_Toc10377"/>
      <w:bookmarkStart w:id="740" w:name="_Toc8452"/>
      <w:bookmarkStart w:id="741" w:name="_Toc31759"/>
      <w:r>
        <w:rPr>
          <w:rFonts w:hint="eastAsia" w:ascii="宋体" w:hAnsi="宋体" w:eastAsia="宋体"/>
          <w:b w:val="0"/>
          <w:bCs/>
          <w:color w:val="auto"/>
          <w:sz w:val="32"/>
          <w:szCs w:val="32"/>
          <w:highlight w:val="none"/>
        </w:rPr>
        <w:t>17.争议的解决</w:t>
      </w:r>
      <w:bookmarkEnd w:id="735"/>
      <w:bookmarkEnd w:id="736"/>
      <w:bookmarkEnd w:id="737"/>
      <w:bookmarkEnd w:id="738"/>
      <w:bookmarkEnd w:id="739"/>
      <w:bookmarkEnd w:id="740"/>
      <w:bookmarkEnd w:id="741"/>
    </w:p>
    <w:p w14:paraId="7F03435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因本合同引起的或与本合同有关的任何争议,双方可通过友好协商解决。友好协商解决不成的，可在专用合同条款中约定下列一种方式解决：</w:t>
      </w:r>
    </w:p>
    <w:p w14:paraId="7F03436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（1）向约定的仲裁委员会申请仲裁；</w:t>
      </w:r>
    </w:p>
    <w:p w14:paraId="7F034361">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szCs w:val="21"/>
          <w:highlight w:val="none"/>
        </w:rPr>
        <w:t>（2）向有管辖权的人民法院提起诉讼。</w:t>
      </w:r>
    </w:p>
    <w:p w14:paraId="7F034362">
      <w:pPr>
        <w:keepNext/>
        <w:keepLines/>
        <w:snapToGrid w:val="0"/>
        <w:spacing w:before="260" w:after="260" w:line="360" w:lineRule="auto"/>
        <w:outlineLvl w:val="2"/>
        <w:rPr>
          <w:rFonts w:hint="eastAsia" w:ascii="宋体" w:hAnsi="宋体" w:cs="宋体"/>
          <w:b w:val="0"/>
          <w:bCs/>
          <w:color w:val="auto"/>
          <w:szCs w:val="21"/>
          <w:highlight w:val="none"/>
          <w:lang w:val="zh-CN"/>
        </w:rPr>
      </w:pPr>
      <w:r>
        <w:rPr>
          <w:rFonts w:hint="eastAsia" w:ascii="宋体" w:hAnsi="宋体" w:cs="宋体"/>
          <w:b w:val="0"/>
          <w:bCs/>
          <w:color w:val="auto"/>
          <w:szCs w:val="21"/>
          <w:highlight w:val="none"/>
          <w:lang w:val="zh-CN"/>
        </w:rPr>
        <w:br w:type="page"/>
      </w:r>
    </w:p>
    <w:p w14:paraId="7F034363">
      <w:pPr>
        <w:pStyle w:val="4"/>
        <w:spacing w:line="360" w:lineRule="auto"/>
        <w:jc w:val="center"/>
        <w:rPr>
          <w:rFonts w:hint="eastAsia" w:ascii="宋体" w:hAnsi="宋体" w:cs="宋体"/>
          <w:b w:val="0"/>
          <w:bCs/>
          <w:color w:val="auto"/>
          <w:kern w:val="0"/>
          <w:sz w:val="28"/>
          <w:szCs w:val="28"/>
          <w:highlight w:val="none"/>
        </w:rPr>
      </w:pPr>
      <w:bookmarkStart w:id="742" w:name="_Toc529388290"/>
      <w:bookmarkStart w:id="743" w:name="_Toc532377320"/>
      <w:bookmarkStart w:id="744" w:name="_Toc9816"/>
      <w:bookmarkStart w:id="745" w:name="_Toc532375607"/>
      <w:bookmarkStart w:id="746" w:name="_Toc22691"/>
      <w:r>
        <w:rPr>
          <w:rFonts w:hint="eastAsia" w:ascii="宋体" w:hAnsi="宋体" w:cs="宋体"/>
          <w:b w:val="0"/>
          <w:bCs/>
          <w:color w:val="auto"/>
          <w:kern w:val="0"/>
          <w:sz w:val="28"/>
          <w:szCs w:val="28"/>
          <w:highlight w:val="none"/>
        </w:rPr>
        <w:t>第二节 专用合同条款</w:t>
      </w:r>
      <w:bookmarkEnd w:id="742"/>
      <w:bookmarkEnd w:id="743"/>
      <w:bookmarkEnd w:id="744"/>
      <w:bookmarkEnd w:id="745"/>
      <w:bookmarkEnd w:id="746"/>
    </w:p>
    <w:p w14:paraId="7F034364">
      <w:pPr>
        <w:pStyle w:val="101"/>
        <w:keepNext w:val="0"/>
        <w:keepLines w:val="0"/>
        <w:tabs>
          <w:tab w:val="left" w:pos="567"/>
        </w:tabs>
        <w:spacing w:before="156" w:after="156"/>
        <w:rPr>
          <w:rFonts w:ascii="宋体" w:hAnsi="宋体" w:eastAsia="宋体"/>
          <w:b w:val="0"/>
          <w:bCs/>
          <w:color w:val="auto"/>
          <w:sz w:val="32"/>
          <w:szCs w:val="32"/>
          <w:highlight w:val="none"/>
        </w:rPr>
      </w:pPr>
      <w:bookmarkStart w:id="747" w:name="baidusnap7"/>
      <w:bookmarkEnd w:id="747"/>
      <w:bookmarkStart w:id="748" w:name="baidusnap3"/>
      <w:bookmarkEnd w:id="748"/>
      <w:bookmarkStart w:id="749" w:name="_Toc256955766"/>
      <w:bookmarkStart w:id="750" w:name="_Toc27196"/>
      <w:bookmarkStart w:id="751" w:name="_Toc217443411"/>
      <w:bookmarkStart w:id="752" w:name="_Toc21206"/>
      <w:bookmarkStart w:id="753" w:name="_Toc29901"/>
      <w:bookmarkStart w:id="754" w:name="_Toc531098981"/>
      <w:bookmarkStart w:id="755" w:name="_Toc218049013"/>
      <w:bookmarkStart w:id="756" w:name="_Toc375218810"/>
      <w:bookmarkStart w:id="757" w:name="_Toc218048833"/>
      <w:bookmarkStart w:id="758" w:name="_Toc255494563"/>
      <w:bookmarkStart w:id="759" w:name="_Toc4930"/>
      <w:bookmarkStart w:id="760" w:name="_Toc2881827"/>
      <w:bookmarkStart w:id="761" w:name="_Toc10484"/>
      <w:bookmarkStart w:id="762" w:name="_Toc381358675"/>
      <w:bookmarkStart w:id="763" w:name="_Toc27170"/>
      <w:bookmarkStart w:id="764" w:name="_Toc138323411"/>
      <w:bookmarkStart w:id="765" w:name="_Toc138638817"/>
      <w:bookmarkStart w:id="766" w:name="_Toc139194405"/>
      <w:bookmarkStart w:id="767" w:name="_Toc152696792"/>
      <w:bookmarkStart w:id="768" w:name="_Toc153270596"/>
      <w:bookmarkStart w:id="769" w:name="_Toc153629149"/>
      <w:bookmarkStart w:id="770" w:name="_Toc153629207"/>
      <w:bookmarkStart w:id="771" w:name="_Toc31567"/>
      <w:bookmarkStart w:id="772" w:name="_Toc15767"/>
      <w:r>
        <w:rPr>
          <w:rFonts w:hint="eastAsia" w:ascii="宋体" w:hAnsi="宋体" w:eastAsia="宋体"/>
          <w:b w:val="0"/>
          <w:bCs/>
          <w:color w:val="auto"/>
          <w:sz w:val="32"/>
          <w:szCs w:val="32"/>
          <w:highlight w:val="none"/>
        </w:rPr>
        <w:t>1. 一般规定</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7F034365">
      <w:pPr>
        <w:spacing w:line="360" w:lineRule="auto"/>
        <w:ind w:firstLine="420" w:firstLineChars="200"/>
        <w:rPr>
          <w:rFonts w:hint="eastAsia" w:ascii="宋体" w:hAnsi="宋体" w:cs="宋体"/>
          <w:b w:val="0"/>
          <w:bCs/>
          <w:color w:val="auto"/>
          <w:szCs w:val="21"/>
          <w:highlight w:val="none"/>
        </w:rPr>
      </w:pPr>
      <w:bookmarkStart w:id="773" w:name="_Toc531098982"/>
      <w:r>
        <w:rPr>
          <w:rFonts w:hint="eastAsia" w:ascii="宋体" w:hAnsi="宋体" w:cs="宋体"/>
          <w:b w:val="0"/>
          <w:bCs/>
          <w:color w:val="auto"/>
          <w:szCs w:val="21"/>
          <w:highlight w:val="none"/>
        </w:rPr>
        <w:t>1.1 词语定义</w:t>
      </w:r>
      <w:bookmarkEnd w:id="773"/>
    </w:p>
    <w:p w14:paraId="7F034366">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1.1.13 工程</w:t>
      </w:r>
    </w:p>
    <w:p w14:paraId="7F034367">
      <w:pPr>
        <w:spacing w:line="360" w:lineRule="auto"/>
        <w:ind w:firstLine="630" w:firstLineChars="3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1.1.13.1 工程：</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68">
      <w:pPr>
        <w:spacing w:line="360" w:lineRule="auto"/>
        <w:ind w:firstLine="630" w:firstLineChars="3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1.1.13.2 施工场地（或称工地、施工现场）：</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69">
      <w:pPr>
        <w:spacing w:line="360" w:lineRule="auto"/>
        <w:ind w:firstLine="420" w:firstLineChars="200"/>
        <w:rPr>
          <w:rFonts w:hint="eastAsia" w:ascii="宋体" w:hAnsi="宋体" w:cs="宋体"/>
          <w:b w:val="0"/>
          <w:bCs/>
          <w:color w:val="auto"/>
          <w:szCs w:val="21"/>
          <w:highlight w:val="none"/>
        </w:rPr>
      </w:pPr>
      <w:bookmarkStart w:id="774" w:name="_Toc531098983"/>
      <w:r>
        <w:rPr>
          <w:rFonts w:hint="eastAsia" w:ascii="宋体" w:hAnsi="宋体" w:cs="宋体"/>
          <w:b w:val="0"/>
          <w:bCs/>
          <w:color w:val="auto"/>
          <w:szCs w:val="21"/>
          <w:highlight w:val="none"/>
        </w:rPr>
        <w:t>1.3 合同文件的优先顺序</w:t>
      </w:r>
      <w:bookmarkEnd w:id="774"/>
    </w:p>
    <w:p w14:paraId="7F03436A">
      <w:pPr>
        <w:widowControl/>
        <w:tabs>
          <w:tab w:val="left" w:pos="1044"/>
          <w:tab w:val="left" w:pos="9072"/>
          <w:tab w:val="left" w:pos="9781"/>
        </w:tabs>
        <w:spacing w:line="360" w:lineRule="auto"/>
        <w:ind w:firstLine="420" w:firstLineChars="200"/>
        <w:jc w:val="left"/>
        <w:rPr>
          <w:rFonts w:ascii="宋体" w:hAnsi="宋体" w:cs="宋体"/>
          <w:b w:val="0"/>
          <w:bCs/>
          <w:color w:val="auto"/>
          <w:highlight w:val="none"/>
          <w:u w:val="single"/>
        </w:rPr>
      </w:pPr>
      <w:r>
        <w:rPr>
          <w:rFonts w:hint="eastAsia" w:ascii="宋体" w:hAnsi="宋体" w:cs="宋体"/>
          <w:b w:val="0"/>
          <w:bCs/>
          <w:color w:val="auto"/>
          <w:szCs w:val="21"/>
          <w:highlight w:val="none"/>
        </w:rPr>
        <w:t>解释合同文件优先顺序的约定：</w:t>
      </w:r>
      <w:r>
        <w:rPr>
          <w:rFonts w:hint="eastAsia" w:ascii="宋体" w:hAnsi="宋体" w:cs="宋体"/>
          <w:b w:val="0"/>
          <w:bCs/>
          <w:color w:val="auto"/>
          <w:szCs w:val="21"/>
          <w:highlight w:val="none"/>
          <w:u w:val="single"/>
        </w:rPr>
        <w:t>按照合同协议书〔第2条〕约定执行</w:t>
      </w:r>
      <w:r>
        <w:rPr>
          <w:rFonts w:hint="eastAsia" w:ascii="宋体" w:hAnsi="宋体" w:cs="宋体"/>
          <w:b w:val="0"/>
          <w:bCs/>
          <w:color w:val="auto"/>
          <w:szCs w:val="21"/>
          <w:highlight w:val="none"/>
        </w:rPr>
        <w:t>。</w:t>
      </w:r>
    </w:p>
    <w:p w14:paraId="7F03436B">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其他合同文件包括：</w:t>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6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 合同的生效及变更</w:t>
      </w:r>
    </w:p>
    <w:p w14:paraId="7F03436D">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1.4.1 合同生效的约定：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6E">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1.4.2 合同变更的约定：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6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1.5 联络</w:t>
      </w:r>
    </w:p>
    <w:p w14:paraId="7F034370">
      <w:pPr>
        <w:tabs>
          <w:tab w:val="left" w:pos="1134"/>
        </w:tabs>
        <w:spacing w:line="360" w:lineRule="auto"/>
        <w:ind w:firstLine="42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1.5.1 买方指定的联系人及联系方式：</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1">
      <w:pPr>
        <w:tabs>
          <w:tab w:val="left" w:pos="1134"/>
        </w:tabs>
        <w:spacing w:line="360" w:lineRule="auto"/>
        <w:ind w:firstLine="42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卖方指定的联系人及联系方式：</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 联合体</w:t>
      </w:r>
    </w:p>
    <w:p w14:paraId="7F034373">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1.6.3 牵头人行为效力的约定：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4">
      <w:pPr>
        <w:pStyle w:val="101"/>
        <w:keepNext w:val="0"/>
        <w:keepLines w:val="0"/>
        <w:tabs>
          <w:tab w:val="left" w:pos="567"/>
        </w:tabs>
        <w:spacing w:before="156" w:after="156"/>
        <w:rPr>
          <w:rFonts w:ascii="宋体" w:hAnsi="宋体" w:eastAsia="宋体"/>
          <w:b w:val="0"/>
          <w:bCs/>
          <w:color w:val="auto"/>
          <w:sz w:val="32"/>
          <w:szCs w:val="32"/>
          <w:highlight w:val="none"/>
        </w:rPr>
      </w:pPr>
      <w:bookmarkStart w:id="775" w:name="_Toc531098984"/>
      <w:bookmarkStart w:id="776" w:name="_Toc1168"/>
      <w:bookmarkStart w:id="777" w:name="_Toc23081"/>
      <w:bookmarkStart w:id="778" w:name="_Toc19197"/>
      <w:bookmarkStart w:id="779" w:name="_Toc22561"/>
      <w:bookmarkStart w:id="780" w:name="_Toc2859382"/>
      <w:bookmarkStart w:id="781" w:name="_Toc24363"/>
      <w:bookmarkStart w:id="782" w:name="_Toc17351"/>
      <w:r>
        <w:rPr>
          <w:rFonts w:hint="eastAsia" w:ascii="宋体" w:hAnsi="宋体" w:eastAsia="宋体"/>
          <w:b w:val="0"/>
          <w:bCs/>
          <w:color w:val="auto"/>
          <w:sz w:val="32"/>
          <w:szCs w:val="32"/>
          <w:highlight w:val="none"/>
        </w:rPr>
        <w:t>3. 合同价格与支付</w:t>
      </w:r>
      <w:bookmarkEnd w:id="775"/>
      <w:bookmarkEnd w:id="776"/>
      <w:bookmarkEnd w:id="777"/>
      <w:bookmarkEnd w:id="778"/>
      <w:bookmarkEnd w:id="779"/>
      <w:bookmarkEnd w:id="780"/>
      <w:bookmarkEnd w:id="781"/>
      <w:bookmarkEnd w:id="782"/>
    </w:p>
    <w:p w14:paraId="7F034375">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3.1 合同价格</w:t>
      </w:r>
    </w:p>
    <w:p w14:paraId="7F034376">
      <w:pPr>
        <w:tabs>
          <w:tab w:val="left" w:pos="1134"/>
        </w:tabs>
        <w:spacing w:line="360" w:lineRule="auto"/>
        <w:ind w:firstLine="42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3.1.2 签约合同价的约定：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3.2 合同价款的支付</w:t>
      </w:r>
    </w:p>
    <w:p w14:paraId="7F034378">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合同价款支付的约定：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9">
      <w:pPr>
        <w:pStyle w:val="101"/>
        <w:keepNext w:val="0"/>
        <w:keepLines w:val="0"/>
        <w:tabs>
          <w:tab w:val="left" w:pos="567"/>
        </w:tabs>
        <w:spacing w:before="156" w:after="156"/>
        <w:rPr>
          <w:rFonts w:ascii="宋体" w:hAnsi="宋体" w:eastAsia="宋体"/>
          <w:b w:val="0"/>
          <w:bCs/>
          <w:color w:val="auto"/>
          <w:sz w:val="32"/>
          <w:szCs w:val="32"/>
          <w:highlight w:val="none"/>
        </w:rPr>
      </w:pPr>
      <w:bookmarkStart w:id="783" w:name="_Toc28373"/>
      <w:bookmarkStart w:id="784" w:name="_Toc18535"/>
      <w:bookmarkStart w:id="785" w:name="_Toc2881828"/>
      <w:bookmarkStart w:id="786" w:name="_Toc31833"/>
      <w:bookmarkStart w:id="787" w:name="_Toc22694"/>
      <w:bookmarkStart w:id="788" w:name="_Toc9926"/>
      <w:bookmarkStart w:id="789" w:name="_Toc14818"/>
      <w:bookmarkStart w:id="790" w:name="_Toc531098985"/>
      <w:r>
        <w:rPr>
          <w:rFonts w:hint="eastAsia" w:ascii="宋体" w:hAnsi="宋体" w:eastAsia="宋体"/>
          <w:b w:val="0"/>
          <w:bCs/>
          <w:color w:val="auto"/>
          <w:sz w:val="32"/>
          <w:szCs w:val="32"/>
          <w:highlight w:val="none"/>
        </w:rPr>
        <w:t>4. 监造及交货前检验</w:t>
      </w:r>
      <w:bookmarkEnd w:id="783"/>
      <w:bookmarkEnd w:id="784"/>
      <w:bookmarkEnd w:id="785"/>
      <w:bookmarkEnd w:id="786"/>
      <w:bookmarkEnd w:id="787"/>
      <w:bookmarkEnd w:id="788"/>
      <w:bookmarkEnd w:id="789"/>
    </w:p>
    <w:p w14:paraId="7F03437A">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4.1 监造</w:t>
      </w:r>
    </w:p>
    <w:p w14:paraId="7F03437B">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是否对合同设备进行监造：</w:t>
      </w:r>
    </w:p>
    <w:p w14:paraId="7F03437C">
      <w:pPr>
        <w:tabs>
          <w:tab w:val="left" w:pos="1134"/>
        </w:tabs>
        <w:spacing w:line="360" w:lineRule="auto"/>
        <w:ind w:firstLine="420" w:firstLineChars="200"/>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 否</w:t>
      </w:r>
    </w:p>
    <w:p w14:paraId="7F03437D">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shd w:val="clear" w:color="auto" w:fill="FFFFFF"/>
        </w:rPr>
        <w:t>□ 是，</w:t>
      </w:r>
      <w:r>
        <w:rPr>
          <w:rFonts w:hint="eastAsia" w:ascii="宋体" w:hAnsi="宋体" w:cs="宋体"/>
          <w:b w:val="0"/>
          <w:bCs/>
          <w:color w:val="auto"/>
          <w:highlight w:val="none"/>
        </w:rPr>
        <w:t>对合同设备监造的具体约定：</w:t>
      </w:r>
    </w:p>
    <w:p w14:paraId="7F03437E">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4.1.1 监造的范围、方式等的约定：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7F">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4.1.2 卖方配合买方监造人员，为买方监造人员提供工作条件及便利的约定：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80">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买方监造人员的交通、食宿费用承担的约定：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81">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4.1.3 卖方将需要买方监造人员现场监造事项通知买方的时间约定：</w:t>
      </w:r>
      <w:r>
        <w:rPr>
          <w:rFonts w:hint="eastAsia" w:ascii="宋体" w:hAnsi="宋体" w:cs="宋体"/>
          <w:b w:val="0"/>
          <w:bCs/>
          <w:color w:val="auto"/>
          <w:szCs w:val="21"/>
          <w:highlight w:val="none"/>
          <w:u w:val="single"/>
        </w:rPr>
        <w:t>提前7日</w:t>
      </w:r>
      <w:r>
        <w:rPr>
          <w:rFonts w:hint="eastAsia" w:ascii="宋体" w:hAnsi="宋体" w:cs="宋体"/>
          <w:b w:val="0"/>
          <w:bCs/>
          <w:color w:val="auto"/>
          <w:szCs w:val="21"/>
          <w:highlight w:val="none"/>
        </w:rPr>
        <w:t>。</w:t>
      </w:r>
    </w:p>
    <w:p w14:paraId="7F034382">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4.2 交货前检验</w:t>
      </w:r>
    </w:p>
    <w:p w14:paraId="7F034383">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是否对合同设备进行交货前检验：</w:t>
      </w:r>
    </w:p>
    <w:p w14:paraId="7F034384">
      <w:pPr>
        <w:tabs>
          <w:tab w:val="left" w:pos="1134"/>
        </w:tabs>
        <w:spacing w:line="360" w:lineRule="auto"/>
        <w:ind w:firstLine="420" w:firstLineChars="200"/>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 否</w:t>
      </w:r>
    </w:p>
    <w:p w14:paraId="7F034385">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szCs w:val="21"/>
          <w:highlight w:val="none"/>
          <w:shd w:val="clear" w:color="auto" w:fill="FFFFFF"/>
        </w:rPr>
        <w:t>□ 是，</w:t>
      </w:r>
      <w:r>
        <w:rPr>
          <w:rFonts w:hint="eastAsia" w:ascii="宋体" w:hAnsi="宋体" w:cs="宋体"/>
          <w:b w:val="0"/>
          <w:bCs/>
          <w:color w:val="auto"/>
          <w:highlight w:val="none"/>
        </w:rPr>
        <w:t>对合同设备进行交货前检验的具体约定：</w:t>
      </w:r>
    </w:p>
    <w:p w14:paraId="7F03438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4.2.1 </w:t>
      </w:r>
      <w:r>
        <w:rPr>
          <w:rFonts w:hint="eastAsia" w:ascii="宋体" w:hAnsi="宋体" w:cs="宋体"/>
          <w:b w:val="0"/>
          <w:bCs/>
          <w:color w:val="auto"/>
          <w:highlight w:val="none"/>
        </w:rPr>
        <w:t>参与交货前检验的买方代表的交通、食宿费用承担的约定：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87">
      <w:pPr>
        <w:tabs>
          <w:tab w:val="left" w:pos="1134"/>
        </w:tabs>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szCs w:val="21"/>
          <w:highlight w:val="none"/>
        </w:rPr>
        <w:t xml:space="preserve">4.2.2 </w:t>
      </w:r>
      <w:r>
        <w:rPr>
          <w:rFonts w:hint="eastAsia" w:ascii="宋体" w:hAnsi="宋体" w:cs="宋体"/>
          <w:b w:val="0"/>
          <w:bCs/>
          <w:color w:val="auto"/>
          <w:highlight w:val="none"/>
        </w:rPr>
        <w:t>卖方将需要买方代表检验事项通知买方的时间约定：</w:t>
      </w:r>
      <w:r>
        <w:rPr>
          <w:rFonts w:hint="eastAsia" w:ascii="宋体" w:hAnsi="宋体" w:cs="宋体"/>
          <w:b w:val="0"/>
          <w:bCs/>
          <w:color w:val="auto"/>
          <w:szCs w:val="21"/>
          <w:highlight w:val="none"/>
          <w:u w:val="single"/>
        </w:rPr>
        <w:t>提前7日</w:t>
      </w:r>
      <w:r>
        <w:rPr>
          <w:rFonts w:hint="eastAsia" w:ascii="宋体" w:hAnsi="宋体" w:cs="宋体"/>
          <w:b w:val="0"/>
          <w:bCs/>
          <w:color w:val="auto"/>
          <w:szCs w:val="21"/>
          <w:highlight w:val="none"/>
        </w:rPr>
        <w:t>。</w:t>
      </w:r>
    </w:p>
    <w:p w14:paraId="7F034388">
      <w:pPr>
        <w:pStyle w:val="101"/>
        <w:keepNext w:val="0"/>
        <w:keepLines w:val="0"/>
        <w:tabs>
          <w:tab w:val="left" w:pos="567"/>
        </w:tabs>
        <w:spacing w:before="156" w:after="156"/>
        <w:rPr>
          <w:rFonts w:ascii="宋体" w:hAnsi="宋体" w:eastAsia="宋体"/>
          <w:b w:val="0"/>
          <w:bCs/>
          <w:color w:val="auto"/>
          <w:sz w:val="32"/>
          <w:szCs w:val="32"/>
          <w:highlight w:val="none"/>
        </w:rPr>
      </w:pPr>
      <w:bookmarkStart w:id="791" w:name="_Toc24338"/>
      <w:bookmarkStart w:id="792" w:name="_Toc26925"/>
      <w:bookmarkStart w:id="793" w:name="_Toc7006"/>
      <w:bookmarkStart w:id="794" w:name="_Toc18931"/>
      <w:bookmarkStart w:id="795" w:name="_Toc12044"/>
      <w:bookmarkStart w:id="796" w:name="_Toc2881829"/>
      <w:bookmarkStart w:id="797" w:name="_Toc12723"/>
      <w:r>
        <w:rPr>
          <w:rFonts w:hint="eastAsia" w:ascii="宋体" w:hAnsi="宋体" w:eastAsia="宋体"/>
          <w:b w:val="0"/>
          <w:bCs/>
          <w:color w:val="auto"/>
          <w:sz w:val="32"/>
          <w:szCs w:val="32"/>
          <w:highlight w:val="none"/>
        </w:rPr>
        <w:t>5. 包装、标记、运输和交付</w:t>
      </w:r>
      <w:bookmarkEnd w:id="790"/>
      <w:bookmarkEnd w:id="791"/>
      <w:bookmarkEnd w:id="792"/>
      <w:bookmarkEnd w:id="793"/>
      <w:bookmarkEnd w:id="794"/>
      <w:bookmarkEnd w:id="795"/>
      <w:bookmarkEnd w:id="796"/>
      <w:bookmarkEnd w:id="797"/>
    </w:p>
    <w:p w14:paraId="7F03438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5.1 包装</w:t>
      </w:r>
    </w:p>
    <w:p w14:paraId="7F03438A">
      <w:pPr>
        <w:tabs>
          <w:tab w:val="left" w:pos="1134"/>
        </w:tabs>
        <w:spacing w:line="360" w:lineRule="auto"/>
        <w:ind w:firstLine="42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5.1.3 包装物处理方式的约定：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8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5.2 标记</w:t>
      </w:r>
    </w:p>
    <w:p w14:paraId="7F03438C">
      <w:pPr>
        <w:adjustRightInd w:val="0"/>
        <w:snapToGrid w:val="0"/>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5.2.1 进行标记的约定：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8D">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5.2.2 超大超重件包括：</w:t>
      </w:r>
      <w:r>
        <w:rPr>
          <w:rFonts w:hint="eastAsia" w:ascii="宋体" w:hAnsi="宋体" w:cs="宋体"/>
          <w:b w:val="0"/>
          <w:bCs/>
          <w:color w:val="auto"/>
          <w:szCs w:val="21"/>
          <w:highlight w:val="none"/>
          <w:u w:val="single"/>
        </w:rPr>
        <w:t>重量超过  吨或体积超过  立方的合同设备</w:t>
      </w:r>
      <w:r>
        <w:rPr>
          <w:rFonts w:hint="eastAsia" w:ascii="宋体" w:hAnsi="宋体" w:cs="宋体"/>
          <w:b w:val="0"/>
          <w:bCs/>
          <w:color w:val="auto"/>
          <w:szCs w:val="21"/>
          <w:highlight w:val="none"/>
        </w:rPr>
        <w:t>。</w:t>
      </w:r>
    </w:p>
    <w:p w14:paraId="7F03438E">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5.3运输</w:t>
      </w:r>
    </w:p>
    <w:p w14:paraId="7F03438F">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5.3.2 装运方式的约定：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0">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5.3.3 </w:t>
      </w:r>
      <w:r>
        <w:rPr>
          <w:rFonts w:hint="eastAsia" w:ascii="宋体" w:hAnsi="宋体" w:cs="宋体"/>
          <w:b w:val="0"/>
          <w:bCs/>
          <w:color w:val="auto"/>
          <w:highlight w:val="none"/>
        </w:rPr>
        <w:t>卖方通知的约定</w:t>
      </w:r>
      <w:r>
        <w:rPr>
          <w:rFonts w:hint="eastAsia" w:ascii="宋体" w:hAnsi="宋体" w:cs="宋体"/>
          <w:b w:val="0"/>
          <w:bCs/>
          <w:color w:val="auto"/>
          <w:szCs w:val="21"/>
          <w:highlight w:val="none"/>
        </w:rPr>
        <w:t>：</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5.3.4 超大超重包装的约定：</w:t>
      </w:r>
      <w:r>
        <w:rPr>
          <w:rFonts w:hint="eastAsia" w:ascii="宋体" w:hAnsi="宋体" w:cs="宋体"/>
          <w:b w:val="0"/>
          <w:bCs/>
          <w:color w:val="auto"/>
          <w:szCs w:val="21"/>
          <w:highlight w:val="none"/>
          <w:u w:val="single"/>
        </w:rPr>
        <w:t>重量超过  吨或体积超过  立方的包装</w:t>
      </w:r>
      <w:r>
        <w:rPr>
          <w:rFonts w:hint="eastAsia" w:ascii="宋体" w:hAnsi="宋体" w:cs="宋体"/>
          <w:b w:val="0"/>
          <w:bCs/>
          <w:color w:val="auto"/>
          <w:szCs w:val="21"/>
          <w:highlight w:val="none"/>
        </w:rPr>
        <w:t>。</w:t>
      </w:r>
    </w:p>
    <w:p w14:paraId="7F03439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5.4 交付</w:t>
      </w:r>
    </w:p>
    <w:p w14:paraId="7F034393">
      <w:pPr>
        <w:tabs>
          <w:tab w:val="left" w:pos="1134"/>
        </w:tabs>
        <w:spacing w:line="360" w:lineRule="auto"/>
        <w:ind w:firstLine="42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5.4.1交付合同设备的约定：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4">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5.4.3 卖方应根据本合同的要求向买方提供与合同设备相关的技术资料，技术资料的范围和交付进度详见本合同附件一。如技术资料不满足合同的要求或交付不符合合同规定的交付进度，卖方应承担违约责任。技术资料短缺和（或）损坏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5">
      <w:pPr>
        <w:pStyle w:val="101"/>
        <w:keepNext w:val="0"/>
        <w:keepLines w:val="0"/>
        <w:tabs>
          <w:tab w:val="left" w:pos="567"/>
        </w:tabs>
        <w:spacing w:before="156" w:after="156"/>
        <w:rPr>
          <w:rFonts w:ascii="宋体" w:hAnsi="宋体" w:eastAsia="宋体"/>
          <w:b w:val="0"/>
          <w:bCs/>
          <w:color w:val="auto"/>
          <w:sz w:val="32"/>
          <w:szCs w:val="32"/>
          <w:highlight w:val="none"/>
        </w:rPr>
      </w:pPr>
      <w:bookmarkStart w:id="798" w:name="_Toc531098986"/>
      <w:bookmarkStart w:id="799" w:name="_Toc3310"/>
      <w:bookmarkStart w:id="800" w:name="_Toc28845"/>
      <w:bookmarkStart w:id="801" w:name="_Toc19494"/>
      <w:bookmarkStart w:id="802" w:name="_Toc2881830"/>
      <w:bookmarkStart w:id="803" w:name="_Toc26228"/>
      <w:bookmarkStart w:id="804" w:name="_Toc10787"/>
      <w:bookmarkStart w:id="805" w:name="_Toc11690"/>
      <w:r>
        <w:rPr>
          <w:rFonts w:ascii="宋体" w:hAnsi="宋体" w:eastAsia="宋体"/>
          <w:b w:val="0"/>
          <w:bCs/>
          <w:color w:val="auto"/>
          <w:sz w:val="32"/>
          <w:szCs w:val="32"/>
          <w:highlight w:val="none"/>
        </w:rPr>
        <w:t>6.</w:t>
      </w:r>
      <w:bookmarkEnd w:id="798"/>
      <w:r>
        <w:rPr>
          <w:rFonts w:hint="eastAsia" w:ascii="宋体" w:hAnsi="宋体" w:eastAsia="宋体"/>
          <w:b w:val="0"/>
          <w:bCs/>
          <w:color w:val="auto"/>
          <w:sz w:val="32"/>
          <w:szCs w:val="32"/>
          <w:highlight w:val="none"/>
        </w:rPr>
        <w:t xml:space="preserve"> 开箱检验、安装、调试、考核、验收</w:t>
      </w:r>
      <w:bookmarkEnd w:id="799"/>
      <w:bookmarkEnd w:id="800"/>
      <w:bookmarkEnd w:id="801"/>
      <w:bookmarkEnd w:id="802"/>
      <w:bookmarkEnd w:id="803"/>
      <w:bookmarkEnd w:id="804"/>
      <w:bookmarkEnd w:id="805"/>
    </w:p>
    <w:p w14:paraId="7F03439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 开箱检验</w:t>
      </w:r>
    </w:p>
    <w:p w14:paraId="7F03439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6.1.1 开箱检验时间：</w:t>
      </w:r>
    </w:p>
    <w:p w14:paraId="7F034398">
      <w:pPr>
        <w:tabs>
          <w:tab w:val="left" w:pos="1134"/>
        </w:tabs>
        <w:spacing w:line="360" w:lineRule="auto"/>
        <w:ind w:firstLine="420" w:firstLineChars="200"/>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 xml:space="preserve">□ </w:t>
      </w:r>
      <w:r>
        <w:rPr>
          <w:rFonts w:hint="eastAsia" w:ascii="宋体" w:hAnsi="宋体" w:cs="宋体"/>
          <w:b w:val="0"/>
          <w:bCs/>
          <w:color w:val="auto"/>
          <w:szCs w:val="21"/>
          <w:highlight w:val="none"/>
        </w:rPr>
        <w:t>合同设备交付时</w:t>
      </w:r>
    </w:p>
    <w:p w14:paraId="7F034399">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shd w:val="clear" w:color="auto" w:fill="FFFFFF"/>
        </w:rPr>
        <w:t>□</w:t>
      </w:r>
      <w:r>
        <w:rPr>
          <w:rFonts w:hint="eastAsia" w:ascii="宋体" w:hAnsi="宋体" w:cs="宋体"/>
          <w:b w:val="0"/>
          <w:bCs/>
          <w:color w:val="auto"/>
          <w:szCs w:val="21"/>
          <w:highlight w:val="none"/>
        </w:rPr>
        <w:t xml:space="preserve"> 合同设备交付后。具体时间要求：</w:t>
      </w:r>
      <w:r>
        <w:rPr>
          <w:rFonts w:hint="eastAsia" w:ascii="宋体" w:hAnsi="宋体" w:cs="宋体"/>
          <w:b w:val="0"/>
          <w:bCs/>
          <w:color w:val="auto"/>
          <w:szCs w:val="21"/>
          <w:highlight w:val="none"/>
          <w:u w:val="single"/>
        </w:rPr>
        <w:t>合同设备交付后7日内</w:t>
      </w:r>
      <w:r>
        <w:rPr>
          <w:rFonts w:hint="eastAsia" w:ascii="宋体" w:hAnsi="宋体" w:cs="宋体"/>
          <w:b w:val="0"/>
          <w:bCs/>
          <w:color w:val="auto"/>
          <w:szCs w:val="21"/>
          <w:highlight w:val="none"/>
        </w:rPr>
        <w:t>。</w:t>
      </w:r>
    </w:p>
    <w:p w14:paraId="7F03439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6.1.2 开箱检验地点的约定：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6.1.6 合同设备交付后进行的开箱检验中发现相关问题时的处理方式约定：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9C">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6.1.7 第三方检测机构对合同设备进行检验的约定：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rPr>
        <w:t>。</w:t>
      </w:r>
    </w:p>
    <w:p w14:paraId="7F03439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 安装、调试</w:t>
      </w:r>
    </w:p>
    <w:p w14:paraId="7F03439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6.2.1 合同设备的安装、调试按照第</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种方式进行：</w:t>
      </w:r>
    </w:p>
    <w:p w14:paraId="7F03439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（1）卖方按照合同约定完成合同设备的安装、调试工作；</w:t>
      </w:r>
    </w:p>
    <w:p w14:paraId="7F0343A0">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（2）买方或买方安排第三方负责合同设备的安装、调试工作，卖方提供技术服务。</w:t>
      </w:r>
    </w:p>
    <w:p w14:paraId="7F0343A1">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采用第（2）种方式时，相关责任划分的约定：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rPr>
        <w:t>。</w:t>
      </w:r>
    </w:p>
    <w:p w14:paraId="7F0343A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6.2.2 </w:t>
      </w:r>
      <w:r>
        <w:rPr>
          <w:rFonts w:hint="eastAsia" w:ascii="宋体" w:hAnsi="宋体" w:cs="宋体"/>
          <w:b w:val="0"/>
          <w:bCs/>
          <w:color w:val="auto"/>
          <w:highlight w:val="none"/>
        </w:rPr>
        <w:t>安装、调试中合同设备运行需要的用水、用电、其他动力和原材料（如需要）等</w:t>
      </w:r>
      <w:r>
        <w:rPr>
          <w:rFonts w:hint="eastAsia" w:ascii="宋体" w:hAnsi="宋体" w:cs="宋体"/>
          <w:b w:val="0"/>
          <w:bCs/>
          <w:color w:val="auto"/>
          <w:szCs w:val="21"/>
          <w:highlight w:val="none"/>
        </w:rPr>
        <w:t>承担主体及方式的约定：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rPr>
        <w:t>。</w:t>
      </w:r>
    </w:p>
    <w:p w14:paraId="7F0343A3">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 考核</w:t>
      </w:r>
    </w:p>
    <w:p w14:paraId="7F0343A4">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6.3.1 考核中合同设备运行需要的用水、用电、其他动力和原材料（如需要）等承担主体及方式的约定：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u w:val="single"/>
        </w:rPr>
        <w:tab/>
      </w:r>
      <w:r>
        <w:rPr>
          <w:rFonts w:hint="eastAsia" w:ascii="宋体" w:hAnsi="宋体" w:cs="宋体"/>
          <w:b w:val="0"/>
          <w:bCs/>
          <w:color w:val="auto"/>
          <w:szCs w:val="21"/>
          <w:highlight w:val="none"/>
        </w:rPr>
        <w:t>。</w:t>
      </w:r>
    </w:p>
    <w:p w14:paraId="7F0343A5">
      <w:pPr>
        <w:tabs>
          <w:tab w:val="left" w:pos="1134"/>
        </w:tabs>
        <w:spacing w:line="360" w:lineRule="auto"/>
        <w:ind w:firstLine="420" w:firstLineChars="200"/>
        <w:rPr>
          <w:rFonts w:hint="eastAsia" w:ascii="宋体" w:hAnsi="宋体" w:cs="宋体"/>
          <w:b w:val="0"/>
          <w:bCs/>
          <w:color w:val="auto"/>
          <w:szCs w:val="21"/>
          <w:highlight w:val="none"/>
          <w:u w:val="single"/>
        </w:rPr>
      </w:pPr>
      <w:bookmarkStart w:id="806" w:name="_Toc531098988"/>
      <w:r>
        <w:rPr>
          <w:rFonts w:hint="eastAsia" w:ascii="宋体" w:hAnsi="宋体" w:cs="宋体"/>
          <w:b w:val="0"/>
          <w:bCs/>
          <w:color w:val="auto"/>
          <w:szCs w:val="21"/>
          <w:highlight w:val="none"/>
        </w:rPr>
        <w:t>6.3.3 若合同设备在考核中仅达到</w:t>
      </w:r>
      <w:r>
        <w:rPr>
          <w:rFonts w:hint="eastAsia" w:ascii="宋体" w:hAnsi="宋体" w:cs="宋体"/>
          <w:b w:val="0"/>
          <w:bCs/>
          <w:color w:val="auto"/>
          <w:highlight w:val="none"/>
        </w:rPr>
        <w:t>合同约定的或双方在考核中另行达成的最低技术性能考核指标，</w:t>
      </w:r>
      <w:r>
        <w:rPr>
          <w:rFonts w:hint="eastAsia" w:ascii="宋体" w:hAnsi="宋体" w:cs="宋体"/>
          <w:b w:val="0"/>
          <w:bCs/>
          <w:color w:val="auto"/>
          <w:szCs w:val="21"/>
          <w:highlight w:val="none"/>
        </w:rPr>
        <w:t>卖方应进行减价或向买方支付补偿金的约定：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 验收</w:t>
      </w:r>
    </w:p>
    <w:p w14:paraId="7F0343A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6.4.1 签署合同设备验收证书时间的约定：</w:t>
      </w:r>
      <w:r>
        <w:rPr>
          <w:rFonts w:hint="eastAsia" w:ascii="宋体" w:hAnsi="宋体" w:cs="宋体"/>
          <w:b w:val="0"/>
          <w:bCs/>
          <w:color w:val="auto"/>
          <w:highlight w:val="none"/>
          <w:u w:val="single"/>
        </w:rPr>
        <w:t>在考核完成后</w:t>
      </w:r>
      <w:r>
        <w:rPr>
          <w:rFonts w:ascii="宋体" w:hAnsi="宋体" w:cs="宋体"/>
          <w:b w:val="0"/>
          <w:bCs/>
          <w:color w:val="auto"/>
          <w:highlight w:val="none"/>
          <w:u w:val="single"/>
        </w:rPr>
        <w:t>7</w:t>
      </w:r>
      <w:r>
        <w:rPr>
          <w:rFonts w:hint="eastAsia" w:ascii="宋体" w:hAnsi="宋体" w:cs="宋体"/>
          <w:b w:val="0"/>
          <w:bCs/>
          <w:color w:val="auto"/>
          <w:highlight w:val="none"/>
          <w:u w:val="single"/>
        </w:rPr>
        <w:t>日内</w:t>
      </w:r>
      <w:r>
        <w:rPr>
          <w:rFonts w:hint="eastAsia" w:ascii="宋体" w:hAnsi="宋体" w:cs="宋体"/>
          <w:b w:val="0"/>
          <w:bCs/>
          <w:color w:val="auto"/>
          <w:szCs w:val="21"/>
          <w:highlight w:val="none"/>
        </w:rPr>
        <w:t>。</w:t>
      </w:r>
    </w:p>
    <w:p w14:paraId="7F0343A8">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 xml:space="preserve">6.4.2 </w:t>
      </w:r>
      <w:r>
        <w:rPr>
          <w:rFonts w:hint="eastAsia" w:ascii="宋体" w:hAnsi="宋体" w:cs="宋体"/>
          <w:b w:val="0"/>
          <w:bCs/>
          <w:color w:val="auto"/>
          <w:highlight w:val="none"/>
        </w:rPr>
        <w:t>如由于买方原因合同设备在三次考核中均未能达到技术性能考核指标，买卖双方应在</w:t>
      </w:r>
      <w:r>
        <w:rPr>
          <w:rFonts w:hint="eastAsia" w:ascii="宋体" w:hAnsi="宋体" w:cs="宋体"/>
          <w:b w:val="0"/>
          <w:bCs/>
          <w:color w:val="auto"/>
          <w:highlight w:val="none"/>
          <w:u w:val="single"/>
        </w:rPr>
        <w:t>考核结束后</w:t>
      </w:r>
      <w:r>
        <w:rPr>
          <w:rFonts w:ascii="宋体" w:hAnsi="宋体" w:cs="宋体"/>
          <w:b w:val="0"/>
          <w:bCs/>
          <w:color w:val="auto"/>
          <w:highlight w:val="none"/>
          <w:u w:val="single"/>
        </w:rPr>
        <w:t>7</w:t>
      </w:r>
      <w:r>
        <w:rPr>
          <w:rFonts w:hint="eastAsia" w:ascii="宋体" w:hAnsi="宋体" w:cs="宋体"/>
          <w:b w:val="0"/>
          <w:bCs/>
          <w:color w:val="auto"/>
          <w:highlight w:val="none"/>
          <w:u w:val="single"/>
        </w:rPr>
        <w:t>日内</w:t>
      </w:r>
      <w:r>
        <w:rPr>
          <w:rFonts w:hint="eastAsia" w:ascii="宋体" w:hAnsi="宋体" w:cs="宋体"/>
          <w:b w:val="0"/>
          <w:bCs/>
          <w:color w:val="auto"/>
          <w:highlight w:val="none"/>
        </w:rPr>
        <w:t>签署验收款支付函。</w:t>
      </w:r>
    </w:p>
    <w:p w14:paraId="7F0343A9">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签署验收款支付函后，卖方提供相关技术服务的约定：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6.4.3 因买方原因未能及时组织考核的约定：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B">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因买方原因未能及时组织考核，签署验收款支付函时间的约定：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C">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签署验收款支付函后，卖方提供相关技术服务的约定：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D">
      <w:pPr>
        <w:pStyle w:val="101"/>
        <w:keepNext w:val="0"/>
        <w:keepLines w:val="0"/>
        <w:tabs>
          <w:tab w:val="left" w:pos="567"/>
        </w:tabs>
        <w:spacing w:before="156" w:after="156"/>
        <w:rPr>
          <w:rFonts w:ascii="宋体" w:hAnsi="宋体" w:eastAsia="宋体"/>
          <w:b w:val="0"/>
          <w:bCs/>
          <w:color w:val="auto"/>
          <w:sz w:val="32"/>
          <w:szCs w:val="32"/>
          <w:highlight w:val="none"/>
        </w:rPr>
      </w:pPr>
      <w:bookmarkStart w:id="807" w:name="_Toc531606351"/>
      <w:bookmarkStart w:id="808" w:name="_Toc4686"/>
      <w:bookmarkStart w:id="809" w:name="_Toc5727"/>
      <w:bookmarkStart w:id="810" w:name="_Toc22072"/>
      <w:bookmarkStart w:id="811" w:name="_Toc9410"/>
      <w:bookmarkStart w:id="812" w:name="_Toc1656"/>
      <w:bookmarkStart w:id="813" w:name="_Toc531098987"/>
      <w:bookmarkStart w:id="814" w:name="_Toc30086"/>
      <w:r>
        <w:rPr>
          <w:rFonts w:hint="eastAsia" w:ascii="宋体" w:hAnsi="宋体" w:eastAsia="宋体"/>
          <w:b w:val="0"/>
          <w:bCs/>
          <w:color w:val="auto"/>
          <w:sz w:val="32"/>
          <w:szCs w:val="32"/>
          <w:highlight w:val="none"/>
        </w:rPr>
        <w:t>7. 技术服务</w:t>
      </w:r>
      <w:bookmarkEnd w:id="807"/>
      <w:bookmarkEnd w:id="808"/>
      <w:bookmarkEnd w:id="809"/>
      <w:bookmarkEnd w:id="810"/>
      <w:bookmarkEnd w:id="811"/>
      <w:bookmarkEnd w:id="812"/>
      <w:bookmarkEnd w:id="813"/>
      <w:bookmarkEnd w:id="814"/>
    </w:p>
    <w:p w14:paraId="7F0343A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7.2 卖方技术人员的交通、食宿费用承担的约定：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AF">
      <w:pPr>
        <w:pStyle w:val="101"/>
        <w:keepNext w:val="0"/>
        <w:keepLines w:val="0"/>
        <w:tabs>
          <w:tab w:val="left" w:pos="567"/>
        </w:tabs>
        <w:spacing w:before="156" w:after="156"/>
        <w:rPr>
          <w:rFonts w:ascii="宋体" w:hAnsi="宋体" w:eastAsia="宋体"/>
          <w:b w:val="0"/>
          <w:bCs/>
          <w:color w:val="auto"/>
          <w:sz w:val="32"/>
          <w:szCs w:val="32"/>
          <w:highlight w:val="none"/>
        </w:rPr>
      </w:pPr>
      <w:bookmarkStart w:id="815" w:name="_Toc867"/>
      <w:bookmarkStart w:id="816" w:name="_Toc1172"/>
      <w:bookmarkStart w:id="817" w:name="_Toc155"/>
      <w:bookmarkStart w:id="818" w:name="_Toc2881831"/>
      <w:bookmarkStart w:id="819" w:name="_Toc17139"/>
      <w:bookmarkStart w:id="820" w:name="_Toc30125"/>
      <w:bookmarkStart w:id="821" w:name="_Toc11636"/>
      <w:r>
        <w:rPr>
          <w:rFonts w:hint="eastAsia" w:ascii="宋体" w:hAnsi="宋体" w:eastAsia="宋体"/>
          <w:b w:val="0"/>
          <w:bCs/>
          <w:color w:val="auto"/>
          <w:sz w:val="32"/>
          <w:szCs w:val="32"/>
          <w:highlight w:val="none"/>
        </w:rPr>
        <w:t>8. 质量保证期</w:t>
      </w:r>
      <w:bookmarkEnd w:id="806"/>
      <w:bookmarkEnd w:id="815"/>
      <w:bookmarkEnd w:id="816"/>
      <w:bookmarkEnd w:id="817"/>
      <w:bookmarkEnd w:id="818"/>
      <w:bookmarkEnd w:id="819"/>
      <w:bookmarkEnd w:id="820"/>
      <w:bookmarkEnd w:id="821"/>
    </w:p>
    <w:p w14:paraId="7F0343B0">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8.1 合同设备整体质量保证期</w:t>
      </w:r>
      <w:r>
        <w:rPr>
          <w:rFonts w:hint="eastAsia" w:ascii="宋体" w:hAnsi="宋体" w:cs="宋体"/>
          <w:b w:val="0"/>
          <w:bCs/>
          <w:color w:val="auto"/>
          <w:highlight w:val="none"/>
        </w:rPr>
        <w:t>为</w:t>
      </w:r>
      <w:r>
        <w:rPr>
          <w:rFonts w:hint="eastAsia" w:ascii="宋体" w:hAnsi="宋体" w:cs="宋体"/>
          <w:b w:val="0"/>
          <w:bCs/>
          <w:color w:val="auto"/>
          <w:highlight w:val="none"/>
          <w:u w:val="single"/>
        </w:rPr>
        <w:t>验收合格之日起</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rPr>
        <w:t>个月</w:t>
      </w:r>
      <w:r>
        <w:rPr>
          <w:rFonts w:hint="eastAsia" w:ascii="宋体" w:hAnsi="宋体" w:cs="宋体"/>
          <w:b w:val="0"/>
          <w:bCs/>
          <w:color w:val="auto"/>
          <w:highlight w:val="none"/>
        </w:rPr>
        <w:t>。</w:t>
      </w:r>
    </w:p>
    <w:p w14:paraId="7F0343B1">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合同设备中关键部件的质量保证期的特殊要求：</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B2">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8.3 买方向卖方出具合同设备的质量保证期届满证书时间的约定：</w:t>
      </w:r>
      <w:r>
        <w:rPr>
          <w:rFonts w:hint="eastAsia" w:ascii="宋体" w:hAnsi="宋体" w:cs="宋体"/>
          <w:b w:val="0"/>
          <w:bCs/>
          <w:color w:val="auto"/>
          <w:szCs w:val="21"/>
          <w:highlight w:val="none"/>
          <w:u w:val="single"/>
        </w:rPr>
        <w:t>在</w:t>
      </w:r>
      <w:r>
        <w:rPr>
          <w:rFonts w:hint="eastAsia" w:ascii="宋体" w:hAnsi="宋体" w:cs="宋体"/>
          <w:b w:val="0"/>
          <w:bCs/>
          <w:color w:val="auto"/>
          <w:highlight w:val="none"/>
          <w:u w:val="single"/>
        </w:rPr>
        <w:t>质量保证期届满后  日内</w:t>
      </w:r>
      <w:r>
        <w:rPr>
          <w:rFonts w:hint="eastAsia" w:ascii="宋体" w:hAnsi="宋体" w:cs="宋体"/>
          <w:b w:val="0"/>
          <w:bCs/>
          <w:color w:val="auto"/>
          <w:highlight w:val="none"/>
        </w:rPr>
        <w:t>。</w:t>
      </w:r>
    </w:p>
    <w:p w14:paraId="7F0343B3">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 xml:space="preserve">8.4 </w:t>
      </w:r>
      <w:r>
        <w:rPr>
          <w:rFonts w:hint="eastAsia" w:ascii="宋体" w:hAnsi="宋体" w:cs="宋体"/>
          <w:b w:val="0"/>
          <w:bCs/>
          <w:color w:val="auto"/>
          <w:highlight w:val="none"/>
        </w:rPr>
        <w:t>在通用合同条款第</w:t>
      </w:r>
      <w:r>
        <w:rPr>
          <w:rFonts w:ascii="宋体" w:hAnsi="宋体" w:cs="宋体"/>
          <w:b w:val="0"/>
          <w:bCs/>
          <w:color w:val="auto"/>
          <w:highlight w:val="none"/>
        </w:rPr>
        <w:t>6.4.2</w:t>
      </w:r>
      <w:r>
        <w:rPr>
          <w:rFonts w:hint="eastAsia" w:ascii="宋体" w:hAnsi="宋体" w:cs="宋体"/>
          <w:b w:val="0"/>
          <w:bCs/>
          <w:color w:val="auto"/>
          <w:highlight w:val="none"/>
        </w:rPr>
        <w:t>项情形下，如在验收款支付函签署后</w:t>
      </w:r>
      <w:r>
        <w:rPr>
          <w:rFonts w:ascii="宋体" w:hAnsi="宋体" w:cs="宋体"/>
          <w:b w:val="0"/>
          <w:bCs/>
          <w:color w:val="auto"/>
          <w:highlight w:val="none"/>
        </w:rPr>
        <w:t>12</w:t>
      </w:r>
      <w:r>
        <w:rPr>
          <w:rFonts w:hint="eastAsia" w:ascii="宋体" w:hAnsi="宋体" w:cs="宋体"/>
          <w:b w:val="0"/>
          <w:bCs/>
          <w:color w:val="auto"/>
          <w:highlight w:val="none"/>
        </w:rPr>
        <w:t>个月内由于买方原因合同设备仍未能达到技术性能考核指标，则买卖双方应在</w:t>
      </w:r>
      <w:r>
        <w:rPr>
          <w:rFonts w:hint="eastAsia" w:ascii="宋体" w:hAnsi="宋体" w:cs="宋体"/>
          <w:b w:val="0"/>
          <w:bCs/>
          <w:color w:val="auto"/>
          <w:highlight w:val="none"/>
          <w:u w:val="single"/>
        </w:rPr>
        <w:t xml:space="preserve">    </w:t>
      </w:r>
      <w:r>
        <w:rPr>
          <w:rFonts w:hint="eastAsia" w:ascii="宋体" w:hAnsi="宋体" w:cs="宋体"/>
          <w:b w:val="0"/>
          <w:bCs/>
          <w:color w:val="auto"/>
          <w:highlight w:val="none"/>
        </w:rPr>
        <w:t>日内签署结清款支付函。</w:t>
      </w:r>
    </w:p>
    <w:p w14:paraId="7F0343B4">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 xml:space="preserve">8.5 </w:t>
      </w:r>
      <w:r>
        <w:rPr>
          <w:rFonts w:hint="eastAsia" w:ascii="宋体" w:hAnsi="宋体" w:cs="宋体"/>
          <w:b w:val="0"/>
          <w:bCs/>
          <w:color w:val="auto"/>
          <w:highlight w:val="none"/>
        </w:rPr>
        <w:t>在通用合同条款第</w:t>
      </w:r>
      <w:r>
        <w:rPr>
          <w:rFonts w:ascii="宋体" w:hAnsi="宋体" w:cs="宋体"/>
          <w:b w:val="0"/>
          <w:bCs/>
          <w:color w:val="auto"/>
          <w:highlight w:val="none"/>
        </w:rPr>
        <w:t>6.4.3</w:t>
      </w:r>
      <w:r>
        <w:rPr>
          <w:rFonts w:hint="eastAsia" w:ascii="宋体" w:hAnsi="宋体" w:cs="宋体"/>
          <w:b w:val="0"/>
          <w:bCs/>
          <w:color w:val="auto"/>
          <w:highlight w:val="none"/>
        </w:rPr>
        <w:t>项情形下，如在验收款支付函签署后</w:t>
      </w:r>
      <w:r>
        <w:rPr>
          <w:rFonts w:ascii="宋体" w:hAnsi="宋体" w:cs="宋体"/>
          <w:b w:val="0"/>
          <w:bCs/>
          <w:color w:val="auto"/>
          <w:highlight w:val="none"/>
        </w:rPr>
        <w:t>6</w:t>
      </w:r>
      <w:r>
        <w:rPr>
          <w:rFonts w:hint="eastAsia" w:ascii="宋体" w:hAnsi="宋体" w:cs="宋体"/>
          <w:b w:val="0"/>
          <w:bCs/>
          <w:color w:val="auto"/>
          <w:highlight w:val="none"/>
        </w:rPr>
        <w:t>个月内由于买方原因合同设备仍未进行考核或仍未达到技术性能考核指标，则买卖双方应在</w:t>
      </w:r>
      <w:r>
        <w:rPr>
          <w:rFonts w:hint="eastAsia" w:ascii="宋体" w:hAnsi="宋体" w:cs="宋体"/>
          <w:b w:val="0"/>
          <w:bCs/>
          <w:color w:val="auto"/>
          <w:highlight w:val="none"/>
          <w:u w:val="single"/>
        </w:rPr>
        <w:t xml:space="preserve">    </w:t>
      </w:r>
      <w:r>
        <w:rPr>
          <w:rFonts w:hint="eastAsia" w:ascii="宋体" w:hAnsi="宋体" w:cs="宋体"/>
          <w:b w:val="0"/>
          <w:bCs/>
          <w:color w:val="auto"/>
          <w:highlight w:val="none"/>
        </w:rPr>
        <w:t>日内签署结清款支付函。</w:t>
      </w:r>
    </w:p>
    <w:p w14:paraId="7F0343B5">
      <w:pPr>
        <w:pStyle w:val="101"/>
        <w:keepNext w:val="0"/>
        <w:keepLines w:val="0"/>
        <w:tabs>
          <w:tab w:val="left" w:pos="567"/>
        </w:tabs>
        <w:spacing w:before="156" w:after="156"/>
        <w:rPr>
          <w:rFonts w:ascii="宋体" w:hAnsi="宋体" w:eastAsia="宋体"/>
          <w:b w:val="0"/>
          <w:bCs/>
          <w:color w:val="auto"/>
          <w:sz w:val="32"/>
          <w:szCs w:val="32"/>
          <w:highlight w:val="none"/>
        </w:rPr>
      </w:pPr>
      <w:bookmarkStart w:id="822" w:name="_Toc6749"/>
      <w:bookmarkStart w:id="823" w:name="_Toc29237"/>
      <w:bookmarkStart w:id="824" w:name="_Toc20907"/>
      <w:bookmarkStart w:id="825" w:name="_Toc32645"/>
      <w:bookmarkStart w:id="826" w:name="_Toc15063"/>
      <w:bookmarkStart w:id="827" w:name="_Toc15068"/>
      <w:r>
        <w:rPr>
          <w:rFonts w:ascii="宋体" w:hAnsi="宋体" w:eastAsia="宋体"/>
          <w:b w:val="0"/>
          <w:bCs/>
          <w:color w:val="auto"/>
          <w:sz w:val="32"/>
          <w:szCs w:val="32"/>
          <w:highlight w:val="none"/>
        </w:rPr>
        <w:t xml:space="preserve">9. </w:t>
      </w:r>
      <w:r>
        <w:rPr>
          <w:rFonts w:hint="eastAsia" w:ascii="宋体" w:hAnsi="宋体" w:eastAsia="宋体"/>
          <w:b w:val="0"/>
          <w:bCs/>
          <w:color w:val="auto"/>
          <w:sz w:val="32"/>
          <w:szCs w:val="32"/>
          <w:highlight w:val="none"/>
        </w:rPr>
        <w:t>质量保证期服务</w:t>
      </w:r>
      <w:bookmarkEnd w:id="822"/>
      <w:bookmarkEnd w:id="823"/>
      <w:bookmarkEnd w:id="824"/>
      <w:bookmarkEnd w:id="825"/>
      <w:bookmarkEnd w:id="826"/>
      <w:bookmarkEnd w:id="827"/>
    </w:p>
    <w:p w14:paraId="7F0343B6">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9.1 质量保证期服务响应的约定：</w:t>
      </w:r>
    </w:p>
    <w:p w14:paraId="7F0343B7">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（1）卖方应在收到买方通知后</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小时内做出响应；</w:t>
      </w:r>
    </w:p>
    <w:p w14:paraId="7F0343B8">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（2）卖方应在收到买方通知后</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小时内到达合同设备现场；</w:t>
      </w:r>
    </w:p>
    <w:p w14:paraId="7F0343B9">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（3）卖方应在到达现场后</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日内解决合同设备的故障（重大故障除外）；</w:t>
      </w:r>
    </w:p>
    <w:p w14:paraId="7F0343BA">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highlight w:val="none"/>
          <w:u w:val="single"/>
        </w:rPr>
        <w:t>如果卖方未在上述时间内作出响应，则买方有权自行或委托第三方解决相关问题或查找和解决合同设备的故障，卖方应承担由此发生的全部费用，</w:t>
      </w:r>
      <w:r>
        <w:rPr>
          <w:rFonts w:hint="eastAsia" w:ascii="宋体" w:hAnsi="宋体" w:cs="宋体"/>
          <w:b w:val="0"/>
          <w:bCs/>
          <w:color w:val="auto"/>
          <w:szCs w:val="21"/>
          <w:highlight w:val="none"/>
          <w:u w:val="single"/>
        </w:rPr>
        <w:t>包括但不限于向委托的第三方支付的费用、设备费用、材料费用、零部件费用等，买方可直接扣减质保金或要求卖方退还部分合同价款。</w:t>
      </w:r>
    </w:p>
    <w:p w14:paraId="7F0343BB">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9.2 卖方质量保证期服务技术人员的交通、食宿费用承担的约定：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BC">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9.4 卖方记录质量保证期服务情况的约定：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BD">
      <w:pPr>
        <w:pStyle w:val="101"/>
        <w:keepNext w:val="0"/>
        <w:keepLines w:val="0"/>
        <w:tabs>
          <w:tab w:val="left" w:pos="567"/>
        </w:tabs>
        <w:spacing w:before="156" w:after="156"/>
        <w:rPr>
          <w:rFonts w:ascii="宋体" w:hAnsi="宋体" w:eastAsia="宋体"/>
          <w:b w:val="0"/>
          <w:bCs/>
          <w:color w:val="auto"/>
          <w:sz w:val="32"/>
          <w:szCs w:val="32"/>
          <w:highlight w:val="none"/>
        </w:rPr>
      </w:pPr>
      <w:bookmarkStart w:id="828" w:name="_Toc531606353"/>
      <w:bookmarkStart w:id="829" w:name="_Toc29689"/>
      <w:bookmarkStart w:id="830" w:name="_Toc5701"/>
      <w:bookmarkStart w:id="831" w:name="_Toc852"/>
      <w:bookmarkStart w:id="832" w:name="_Toc531098989"/>
      <w:bookmarkStart w:id="833" w:name="_Toc32169"/>
      <w:bookmarkStart w:id="834" w:name="_Toc30678"/>
      <w:bookmarkStart w:id="835" w:name="_Toc29094"/>
      <w:bookmarkStart w:id="836" w:name="_Toc2881832"/>
      <w:r>
        <w:rPr>
          <w:rFonts w:hint="eastAsia" w:ascii="宋体" w:hAnsi="宋体" w:eastAsia="宋体"/>
          <w:b w:val="0"/>
          <w:bCs/>
          <w:color w:val="auto"/>
          <w:sz w:val="32"/>
          <w:szCs w:val="32"/>
          <w:highlight w:val="none"/>
        </w:rPr>
        <w:t>10. 履约保证金</w:t>
      </w:r>
      <w:bookmarkEnd w:id="828"/>
      <w:bookmarkEnd w:id="829"/>
      <w:bookmarkEnd w:id="830"/>
      <w:bookmarkEnd w:id="831"/>
      <w:bookmarkEnd w:id="832"/>
      <w:bookmarkEnd w:id="833"/>
      <w:bookmarkEnd w:id="834"/>
      <w:bookmarkEnd w:id="835"/>
    </w:p>
    <w:p w14:paraId="7F0343BE">
      <w:pPr>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卖方是否需提供履约保证金：</w:t>
      </w:r>
    </w:p>
    <w:p w14:paraId="7F0343BF">
      <w:pPr>
        <w:tabs>
          <w:tab w:val="left" w:pos="1134"/>
        </w:tabs>
        <w:spacing w:line="360" w:lineRule="auto"/>
        <w:ind w:firstLine="420" w:firstLineChars="200"/>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 否</w:t>
      </w:r>
    </w:p>
    <w:p w14:paraId="7F0343C0">
      <w:pPr>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shd w:val="clear" w:color="auto" w:fill="FFFFFF"/>
        </w:rPr>
        <w:t>□ 是，</w:t>
      </w:r>
      <w:r>
        <w:rPr>
          <w:rFonts w:hint="eastAsia" w:ascii="宋体" w:hAnsi="宋体" w:cs="宋体"/>
          <w:b w:val="0"/>
          <w:bCs/>
          <w:color w:val="auto"/>
          <w:szCs w:val="21"/>
          <w:highlight w:val="none"/>
        </w:rPr>
        <w:t>卖方提供履约保证金的形式、金额及期限：</w:t>
      </w:r>
    </w:p>
    <w:p w14:paraId="7F0343C1">
      <w:pPr>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（1）履约保证金的形式：现金或银行保函或现金+银行保函的组合；采用保函形式的，保函必须为不可撤销且见索即付；</w:t>
      </w:r>
    </w:p>
    <w:p w14:paraId="7F0343C2">
      <w:pPr>
        <w:tabs>
          <w:tab w:val="left" w:pos="1134"/>
        </w:tabs>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（2）履约保证金的金额：</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zCs w:val="21"/>
          <w:highlight w:val="none"/>
        </w:rPr>
        <w:t>；</w:t>
      </w:r>
    </w:p>
    <w:p w14:paraId="7F0343C3">
      <w:pPr>
        <w:tabs>
          <w:tab w:val="left" w:pos="1134"/>
        </w:tabs>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（3）履约保证金的提交时间：</w:t>
      </w:r>
      <w:r>
        <w:rPr>
          <w:rFonts w:hint="eastAsia" w:ascii="宋体" w:hAnsi="宋体" w:cs="宋体"/>
          <w:b w:val="0"/>
          <w:bCs/>
          <w:color w:val="auto"/>
          <w:kern w:val="0"/>
          <w:szCs w:val="21"/>
          <w:highlight w:val="none"/>
        </w:rPr>
        <w:t>中标人收到中标通知书后</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日内提交</w:t>
      </w:r>
      <w:r>
        <w:rPr>
          <w:rFonts w:hint="eastAsia" w:ascii="宋体" w:hAnsi="宋体" w:cs="宋体"/>
          <w:b w:val="0"/>
          <w:bCs/>
          <w:color w:val="auto"/>
          <w:szCs w:val="21"/>
          <w:highlight w:val="none"/>
        </w:rPr>
        <w:t>。</w:t>
      </w:r>
    </w:p>
    <w:p w14:paraId="7F0343C4">
      <w:pPr>
        <w:tabs>
          <w:tab w:val="left" w:pos="1134"/>
        </w:tabs>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（4）履约保证金的期限：</w:t>
      </w:r>
      <w:r>
        <w:rPr>
          <w:rFonts w:hint="eastAsia" w:ascii="宋体" w:hAnsi="宋体" w:cs="宋体"/>
          <w:b w:val="0"/>
          <w:bCs/>
          <w:color w:val="auto"/>
          <w:szCs w:val="21"/>
          <w:highlight w:val="none"/>
          <w:u w:val="single"/>
        </w:rPr>
        <w:t>自合同生效之日起至</w:t>
      </w:r>
      <w:r>
        <w:rPr>
          <w:rFonts w:hint="eastAsia" w:ascii="宋体" w:hAnsi="宋体" w:cs="宋体"/>
          <w:b w:val="0"/>
          <w:bCs/>
          <w:color w:val="auto"/>
          <w:highlight w:val="none"/>
          <w:u w:val="single"/>
        </w:rPr>
        <w:t>合同设备验收证书或验收款支付函签署之日</w:t>
      </w:r>
      <w:r>
        <w:rPr>
          <w:rFonts w:hint="eastAsia" w:ascii="宋体" w:hAnsi="宋体" w:cs="宋体"/>
          <w:b w:val="0"/>
          <w:bCs/>
          <w:color w:val="auto"/>
          <w:szCs w:val="21"/>
          <w:highlight w:val="none"/>
          <w:u w:val="single"/>
        </w:rPr>
        <w:t>止</w:t>
      </w:r>
      <w:r>
        <w:rPr>
          <w:rFonts w:hint="eastAsia" w:ascii="宋体" w:hAnsi="宋体" w:cs="宋体"/>
          <w:b w:val="0"/>
          <w:bCs/>
          <w:color w:val="auto"/>
          <w:szCs w:val="21"/>
          <w:highlight w:val="none"/>
        </w:rPr>
        <w:t>。</w:t>
      </w:r>
    </w:p>
    <w:p w14:paraId="7F0343C5">
      <w:pPr>
        <w:tabs>
          <w:tab w:val="left" w:pos="1134"/>
        </w:tabs>
        <w:spacing w:line="360" w:lineRule="auto"/>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（5）履约担保的退还时间：</w:t>
      </w:r>
      <w:r>
        <w:rPr>
          <w:rFonts w:hint="eastAsia" w:ascii="宋体" w:hAnsi="宋体" w:cs="宋体"/>
          <w:b w:val="0"/>
          <w:bCs/>
          <w:color w:val="auto"/>
          <w:szCs w:val="21"/>
          <w:highlight w:val="none"/>
          <w:u w:val="single"/>
        </w:rPr>
        <w:t>采用现金担保的，在</w:t>
      </w:r>
      <w:r>
        <w:rPr>
          <w:rFonts w:hint="eastAsia" w:ascii="宋体" w:hAnsi="宋体" w:cs="宋体"/>
          <w:b w:val="0"/>
          <w:bCs/>
          <w:color w:val="auto"/>
          <w:highlight w:val="none"/>
          <w:u w:val="single"/>
        </w:rPr>
        <w:t>合同设备验收证书或验收款支付函签署</w:t>
      </w:r>
      <w:r>
        <w:rPr>
          <w:rFonts w:hint="eastAsia" w:ascii="宋体" w:hAnsi="宋体" w:cs="宋体"/>
          <w:b w:val="0"/>
          <w:bCs/>
          <w:color w:val="auto"/>
          <w:szCs w:val="21"/>
          <w:highlight w:val="none"/>
          <w:u w:val="single"/>
        </w:rPr>
        <w:t>后28天内退还；采用银行保函的，在</w:t>
      </w:r>
      <w:r>
        <w:rPr>
          <w:rFonts w:hint="eastAsia" w:ascii="宋体" w:hAnsi="宋体" w:cs="宋体"/>
          <w:b w:val="0"/>
          <w:bCs/>
          <w:color w:val="auto"/>
          <w:highlight w:val="none"/>
          <w:u w:val="single"/>
        </w:rPr>
        <w:t>合同设备验收证书或验收款支付函签署</w:t>
      </w:r>
      <w:r>
        <w:rPr>
          <w:rFonts w:hint="eastAsia" w:ascii="宋体" w:hAnsi="宋体" w:cs="宋体"/>
          <w:b w:val="0"/>
          <w:bCs/>
          <w:color w:val="auto"/>
          <w:szCs w:val="21"/>
          <w:highlight w:val="none"/>
          <w:u w:val="single"/>
        </w:rPr>
        <w:t xml:space="preserve">后28天内退还。或按项目实际情况约定分阶段退还，阶段划分按以下标准执行：                       </w:t>
      </w:r>
      <w:r>
        <w:rPr>
          <w:rFonts w:hint="eastAsia" w:ascii="宋体" w:hAnsi="宋体" w:cs="宋体"/>
          <w:b w:val="0"/>
          <w:bCs/>
          <w:color w:val="auto"/>
          <w:szCs w:val="21"/>
          <w:highlight w:val="none"/>
        </w:rPr>
        <w:t>。</w:t>
      </w:r>
    </w:p>
    <w:p w14:paraId="7F0343C6">
      <w:pPr>
        <w:pStyle w:val="101"/>
        <w:keepNext w:val="0"/>
        <w:keepLines w:val="0"/>
        <w:tabs>
          <w:tab w:val="left" w:pos="567"/>
        </w:tabs>
        <w:spacing w:before="156" w:after="156"/>
        <w:rPr>
          <w:rFonts w:ascii="宋体" w:hAnsi="宋体" w:eastAsia="宋体"/>
          <w:b w:val="0"/>
          <w:bCs/>
          <w:color w:val="auto"/>
          <w:sz w:val="32"/>
          <w:szCs w:val="32"/>
          <w:highlight w:val="none"/>
        </w:rPr>
      </w:pPr>
      <w:bookmarkStart w:id="837" w:name="_Toc531606354"/>
      <w:bookmarkStart w:id="838" w:name="_Toc6412"/>
      <w:bookmarkStart w:id="839" w:name="_Toc729"/>
      <w:bookmarkStart w:id="840" w:name="_Toc16066"/>
      <w:bookmarkStart w:id="841" w:name="_Toc25149"/>
      <w:bookmarkStart w:id="842" w:name="_Toc2948"/>
      <w:bookmarkStart w:id="843" w:name="_Toc531098990"/>
      <w:bookmarkStart w:id="844" w:name="_Toc2577"/>
      <w:r>
        <w:rPr>
          <w:rFonts w:hint="eastAsia" w:ascii="宋体" w:hAnsi="宋体" w:eastAsia="宋体"/>
          <w:b w:val="0"/>
          <w:bCs/>
          <w:color w:val="auto"/>
          <w:sz w:val="32"/>
          <w:szCs w:val="32"/>
          <w:highlight w:val="none"/>
        </w:rPr>
        <w:t>11. 保证</w:t>
      </w:r>
      <w:bookmarkEnd w:id="837"/>
      <w:bookmarkEnd w:id="838"/>
      <w:bookmarkEnd w:id="839"/>
      <w:bookmarkEnd w:id="840"/>
      <w:bookmarkEnd w:id="841"/>
      <w:bookmarkEnd w:id="842"/>
      <w:bookmarkEnd w:id="843"/>
      <w:bookmarkEnd w:id="844"/>
    </w:p>
    <w:p w14:paraId="7F0343C7">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11.4 对合同设备品质的约定：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C8">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11.7 合同设备使用寿命期内，卖方保障买方获取备品备件的约定：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C9">
      <w:pPr>
        <w:pStyle w:val="101"/>
        <w:keepNext w:val="0"/>
        <w:keepLines w:val="0"/>
        <w:tabs>
          <w:tab w:val="left" w:pos="567"/>
        </w:tabs>
        <w:spacing w:before="156" w:after="156"/>
        <w:rPr>
          <w:rFonts w:ascii="宋体" w:hAnsi="宋体" w:eastAsia="宋体"/>
          <w:b w:val="0"/>
          <w:bCs/>
          <w:color w:val="auto"/>
          <w:sz w:val="32"/>
          <w:szCs w:val="32"/>
          <w:highlight w:val="none"/>
        </w:rPr>
      </w:pPr>
      <w:bookmarkStart w:id="845" w:name="_Toc32464"/>
      <w:bookmarkStart w:id="846" w:name="_Toc30305"/>
      <w:bookmarkStart w:id="847" w:name="_Toc17955"/>
      <w:bookmarkStart w:id="848" w:name="_Toc548"/>
      <w:bookmarkStart w:id="849" w:name="_Toc11968"/>
      <w:bookmarkStart w:id="850" w:name="_Toc30351"/>
      <w:r>
        <w:rPr>
          <w:rFonts w:hint="eastAsia" w:ascii="宋体" w:hAnsi="宋体" w:eastAsia="宋体"/>
          <w:b w:val="0"/>
          <w:bCs/>
          <w:color w:val="auto"/>
          <w:sz w:val="32"/>
          <w:szCs w:val="32"/>
          <w:highlight w:val="none"/>
        </w:rPr>
        <w:t>12.知识产权</w:t>
      </w:r>
      <w:bookmarkEnd w:id="845"/>
      <w:bookmarkEnd w:id="846"/>
      <w:bookmarkEnd w:id="847"/>
      <w:bookmarkEnd w:id="848"/>
      <w:bookmarkEnd w:id="849"/>
      <w:bookmarkEnd w:id="850"/>
    </w:p>
    <w:p w14:paraId="7F0343CA">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12.2 买方对卖方提供相关技术资料享有相关知识产权的约定：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C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12.4 买方应对第三方有关知识产权的主张、索赔或诉讼的约定：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CC">
      <w:pPr>
        <w:pStyle w:val="101"/>
        <w:keepNext w:val="0"/>
        <w:keepLines w:val="0"/>
        <w:tabs>
          <w:tab w:val="left" w:pos="567"/>
        </w:tabs>
        <w:spacing w:before="156" w:after="156"/>
        <w:rPr>
          <w:rFonts w:ascii="宋体" w:hAnsi="宋体" w:eastAsia="宋体"/>
          <w:b w:val="0"/>
          <w:bCs/>
          <w:color w:val="auto"/>
          <w:sz w:val="32"/>
          <w:szCs w:val="32"/>
          <w:highlight w:val="none"/>
        </w:rPr>
      </w:pPr>
      <w:bookmarkStart w:id="851" w:name="_Toc31564"/>
      <w:bookmarkStart w:id="852" w:name="_Toc13276"/>
      <w:bookmarkStart w:id="853" w:name="_Toc32592"/>
      <w:bookmarkStart w:id="854" w:name="_Toc27903"/>
      <w:bookmarkStart w:id="855" w:name="_Toc18416"/>
      <w:bookmarkStart w:id="856" w:name="_Toc1892"/>
      <w:bookmarkStart w:id="857" w:name="_Toc531098991"/>
      <w:bookmarkStart w:id="858" w:name="_Toc531606355"/>
      <w:r>
        <w:rPr>
          <w:rFonts w:hint="eastAsia" w:ascii="宋体" w:hAnsi="宋体" w:eastAsia="宋体"/>
          <w:b w:val="0"/>
          <w:bCs/>
          <w:color w:val="auto"/>
          <w:sz w:val="32"/>
          <w:szCs w:val="32"/>
          <w:highlight w:val="none"/>
        </w:rPr>
        <w:t>14. 违约责任</w:t>
      </w:r>
      <w:bookmarkEnd w:id="851"/>
      <w:bookmarkEnd w:id="852"/>
      <w:bookmarkEnd w:id="853"/>
      <w:bookmarkEnd w:id="854"/>
      <w:bookmarkEnd w:id="855"/>
      <w:bookmarkEnd w:id="856"/>
      <w:bookmarkEnd w:id="857"/>
      <w:bookmarkEnd w:id="858"/>
    </w:p>
    <w:p w14:paraId="7F0343C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14.1 </w:t>
      </w:r>
      <w:r>
        <w:rPr>
          <w:rFonts w:hint="eastAsia" w:ascii="宋体" w:hAnsi="宋体" w:cs="宋体"/>
          <w:b w:val="0"/>
          <w:bCs/>
          <w:color w:val="auto"/>
          <w:highlight w:val="none"/>
        </w:rPr>
        <w:t>合同任意一方支付的违约金总额不得超过合同价格的</w:t>
      </w:r>
      <w:r>
        <w:rPr>
          <w:rFonts w:ascii="宋体" w:hAnsi="宋体" w:cs="宋体"/>
          <w:b w:val="0"/>
          <w:bCs/>
          <w:color w:val="auto"/>
          <w:highlight w:val="none"/>
          <w:u w:val="single"/>
        </w:rPr>
        <w:t>20</w:t>
      </w:r>
      <w:r>
        <w:rPr>
          <w:rFonts w:ascii="宋体" w:hAnsi="宋体" w:cs="宋体"/>
          <w:b w:val="0"/>
          <w:bCs/>
          <w:color w:val="auto"/>
          <w:highlight w:val="none"/>
        </w:rPr>
        <w:t>%</w:t>
      </w:r>
      <w:r>
        <w:rPr>
          <w:rFonts w:hint="eastAsia" w:ascii="宋体" w:hAnsi="宋体" w:cs="宋体"/>
          <w:b w:val="0"/>
          <w:bCs/>
          <w:color w:val="auto"/>
          <w:highlight w:val="none"/>
        </w:rPr>
        <w:t>。</w:t>
      </w:r>
    </w:p>
    <w:p w14:paraId="7F0343CE">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14.2 卖方违约责任的约定：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CF">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14.3 买方违约责任的约定：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D0">
      <w:pPr>
        <w:pStyle w:val="101"/>
        <w:keepNext w:val="0"/>
        <w:keepLines w:val="0"/>
        <w:tabs>
          <w:tab w:val="left" w:pos="567"/>
        </w:tabs>
        <w:spacing w:before="156" w:after="156"/>
        <w:rPr>
          <w:rFonts w:ascii="宋体" w:hAnsi="宋体" w:eastAsia="宋体"/>
          <w:b w:val="0"/>
          <w:bCs/>
          <w:color w:val="auto"/>
          <w:sz w:val="32"/>
          <w:szCs w:val="32"/>
          <w:highlight w:val="none"/>
        </w:rPr>
      </w:pPr>
      <w:bookmarkStart w:id="859" w:name="_Toc19438"/>
      <w:bookmarkStart w:id="860" w:name="_Toc31345"/>
      <w:bookmarkStart w:id="861" w:name="_Toc531606356"/>
      <w:bookmarkStart w:id="862" w:name="_Toc29729"/>
      <w:bookmarkStart w:id="863" w:name="_Toc9970"/>
      <w:bookmarkStart w:id="864" w:name="_Toc6277"/>
      <w:bookmarkStart w:id="865" w:name="_Toc531098992"/>
      <w:bookmarkStart w:id="866" w:name="_Toc3357"/>
      <w:r>
        <w:rPr>
          <w:rFonts w:hint="eastAsia" w:ascii="宋体" w:hAnsi="宋体" w:eastAsia="宋体"/>
          <w:b w:val="0"/>
          <w:bCs/>
          <w:color w:val="auto"/>
          <w:sz w:val="32"/>
          <w:szCs w:val="32"/>
          <w:highlight w:val="none"/>
        </w:rPr>
        <w:t>15. 合同的解除</w:t>
      </w:r>
      <w:bookmarkEnd w:id="859"/>
      <w:bookmarkEnd w:id="860"/>
      <w:bookmarkEnd w:id="861"/>
      <w:bookmarkEnd w:id="862"/>
      <w:bookmarkEnd w:id="863"/>
      <w:bookmarkEnd w:id="864"/>
      <w:bookmarkEnd w:id="865"/>
      <w:bookmarkEnd w:id="866"/>
    </w:p>
    <w:p w14:paraId="7F0343D1">
      <w:pPr>
        <w:tabs>
          <w:tab w:val="left" w:pos="1134"/>
        </w:tabs>
        <w:spacing w:line="360" w:lineRule="auto"/>
        <w:ind w:firstLine="420"/>
        <w:rPr>
          <w:rFonts w:hint="eastAsia" w:ascii="宋体" w:hAnsi="宋体" w:cs="宋体"/>
          <w:b w:val="0"/>
          <w:bCs/>
          <w:color w:val="auto"/>
          <w:szCs w:val="21"/>
          <w:highlight w:val="none"/>
        </w:rPr>
      </w:pPr>
      <w:r>
        <w:rPr>
          <w:rFonts w:hint="eastAsia" w:ascii="宋体" w:hAnsi="宋体" w:cs="宋体"/>
          <w:b w:val="0"/>
          <w:bCs/>
          <w:color w:val="auto"/>
          <w:szCs w:val="21"/>
          <w:highlight w:val="none"/>
        </w:rPr>
        <w:t>合同解除的约定：</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D2">
      <w:pPr>
        <w:pStyle w:val="101"/>
        <w:keepNext w:val="0"/>
        <w:keepLines w:val="0"/>
        <w:tabs>
          <w:tab w:val="left" w:pos="567"/>
        </w:tabs>
        <w:spacing w:before="156" w:after="156"/>
        <w:rPr>
          <w:rFonts w:ascii="宋体" w:hAnsi="宋体" w:eastAsia="宋体"/>
          <w:b w:val="0"/>
          <w:bCs/>
          <w:color w:val="auto"/>
          <w:sz w:val="32"/>
          <w:szCs w:val="32"/>
          <w:highlight w:val="none"/>
        </w:rPr>
      </w:pPr>
      <w:bookmarkStart w:id="867" w:name="_Toc4421"/>
      <w:bookmarkStart w:id="868" w:name="_Toc7576"/>
      <w:bookmarkStart w:id="869" w:name="_Toc12391"/>
      <w:bookmarkStart w:id="870" w:name="_Toc9026"/>
      <w:bookmarkStart w:id="871" w:name="_Toc10668"/>
      <w:bookmarkStart w:id="872" w:name="_Toc19356"/>
      <w:r>
        <w:rPr>
          <w:rFonts w:hint="eastAsia" w:ascii="宋体" w:hAnsi="宋体" w:eastAsia="宋体"/>
          <w:b w:val="0"/>
          <w:bCs/>
          <w:color w:val="auto"/>
          <w:sz w:val="32"/>
          <w:szCs w:val="32"/>
          <w:highlight w:val="none"/>
        </w:rPr>
        <w:t>16. 不可抗力</w:t>
      </w:r>
      <w:bookmarkEnd w:id="836"/>
      <w:bookmarkEnd w:id="867"/>
      <w:bookmarkEnd w:id="868"/>
      <w:bookmarkEnd w:id="869"/>
      <w:bookmarkEnd w:id="870"/>
      <w:bookmarkEnd w:id="871"/>
      <w:bookmarkEnd w:id="872"/>
    </w:p>
    <w:p w14:paraId="7F0343D3">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16.1 除通用合同条款约定的不可抗力事件之外，视为不可抗力的其他情形包括：</w:t>
      </w:r>
      <w:bookmarkStart w:id="873" w:name="_Hlk524379638"/>
    </w:p>
    <w:p w14:paraId="7F0343D4">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（1）火山爆发、山崩、山体滑坡、泥石流、龙卷风、不可预测的突发性地质或自然灾害；</w:t>
      </w:r>
    </w:p>
    <w:p w14:paraId="7F0343D5">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（2）瘟疫、严重流行病及防疫限制；</w:t>
      </w:r>
    </w:p>
    <w:p w14:paraId="7F0343D6">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（3）骚乱、戒严、封锁、禁运、恐怖行为等社会行为，但卖方或其分包人派遣与雇佣的人员由于履行合同原因引起的除外；</w:t>
      </w:r>
    </w:p>
    <w:p w14:paraId="7F0343D7">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（4）不能合理预见的重大交通阻滞、停运、交通事故，非双方责任引起的爆炸、船舶撞击等情形；</w:t>
      </w:r>
    </w:p>
    <w:p w14:paraId="7F0343D8">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（5）化学、放射性污染或核辐射；</w:t>
      </w:r>
    </w:p>
    <w:p w14:paraId="7F0343D9">
      <w:pPr>
        <w:spacing w:line="360" w:lineRule="auto"/>
        <w:ind w:right="105" w:rightChars="50"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（6）政府或主管部门行为导致项目暂停或取消</w:t>
      </w:r>
      <w:bookmarkEnd w:id="873"/>
      <w:r>
        <w:rPr>
          <w:rFonts w:hint="eastAsia" w:ascii="宋体" w:hAnsi="宋体" w:cs="宋体"/>
          <w:b w:val="0"/>
          <w:bCs/>
          <w:color w:val="auto"/>
          <w:szCs w:val="21"/>
          <w:highlight w:val="none"/>
        </w:rPr>
        <w:t>；</w:t>
      </w:r>
    </w:p>
    <w:p w14:paraId="7F0343DA">
      <w:pPr>
        <w:tabs>
          <w:tab w:val="left" w:pos="1134"/>
        </w:tabs>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（7）</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3DB">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16.3 因不可抗力事件引发持续影响，双方解除合同的约定：</w:t>
      </w:r>
      <w:r>
        <w:rPr>
          <w:rFonts w:hint="eastAsia" w:ascii="宋体" w:hAnsi="宋体" w:cs="宋体"/>
          <w:b w:val="0"/>
          <w:bCs/>
          <w:color w:val="auto"/>
          <w:highlight w:val="none"/>
          <w:u w:val="single"/>
        </w:rPr>
        <w:t>不可抗力事件的影响持续超过</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rPr>
        <w:t>日，则任何一方当事人均有权以书面通知解除合同</w:t>
      </w:r>
      <w:r>
        <w:rPr>
          <w:rFonts w:hint="eastAsia" w:ascii="宋体" w:hAnsi="宋体" w:cs="宋体"/>
          <w:b w:val="0"/>
          <w:bCs/>
          <w:color w:val="auto"/>
          <w:szCs w:val="21"/>
          <w:highlight w:val="none"/>
        </w:rPr>
        <w:t>。</w:t>
      </w:r>
    </w:p>
    <w:p w14:paraId="7F0343DC">
      <w:pPr>
        <w:pStyle w:val="101"/>
        <w:keepNext w:val="0"/>
        <w:keepLines w:val="0"/>
        <w:tabs>
          <w:tab w:val="left" w:pos="567"/>
        </w:tabs>
        <w:spacing w:before="156" w:after="156"/>
        <w:rPr>
          <w:rFonts w:ascii="宋体" w:hAnsi="宋体" w:eastAsia="宋体"/>
          <w:b w:val="0"/>
          <w:bCs/>
          <w:color w:val="auto"/>
          <w:sz w:val="32"/>
          <w:szCs w:val="32"/>
          <w:highlight w:val="none"/>
        </w:rPr>
      </w:pPr>
      <w:bookmarkStart w:id="874" w:name="_Toc531098993"/>
      <w:bookmarkStart w:id="875" w:name="_Toc23385"/>
      <w:bookmarkStart w:id="876" w:name="_Toc10293"/>
      <w:bookmarkStart w:id="877" w:name="_Toc202"/>
      <w:bookmarkStart w:id="878" w:name="_Toc28939"/>
      <w:bookmarkStart w:id="879" w:name="_Toc2881833"/>
      <w:bookmarkStart w:id="880" w:name="_Toc23252"/>
      <w:bookmarkStart w:id="881" w:name="_Toc23750"/>
      <w:r>
        <w:rPr>
          <w:rFonts w:hint="eastAsia" w:ascii="宋体" w:hAnsi="宋体" w:eastAsia="宋体"/>
          <w:b w:val="0"/>
          <w:bCs/>
          <w:color w:val="auto"/>
          <w:sz w:val="32"/>
          <w:szCs w:val="32"/>
          <w:highlight w:val="none"/>
        </w:rPr>
        <w:t>17.争议的解决</w:t>
      </w:r>
      <w:bookmarkEnd w:id="874"/>
      <w:bookmarkEnd w:id="875"/>
      <w:bookmarkEnd w:id="876"/>
      <w:bookmarkEnd w:id="877"/>
      <w:bookmarkEnd w:id="878"/>
      <w:bookmarkEnd w:id="879"/>
      <w:bookmarkEnd w:id="880"/>
      <w:bookmarkEnd w:id="881"/>
    </w:p>
    <w:p w14:paraId="7F0343DD">
      <w:pPr>
        <w:tabs>
          <w:tab w:val="left" w:pos="1134"/>
        </w:tabs>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因本合同引起的或与本合同有关的任何争议，双方可通过友好协商解决。友好协商解决不成的，</w:t>
      </w:r>
      <w:r>
        <w:rPr>
          <w:rFonts w:hint="eastAsia" w:ascii="宋体" w:hAnsi="宋体" w:cs="宋体"/>
          <w:b w:val="0"/>
          <w:bCs/>
          <w:color w:val="auto"/>
          <w:szCs w:val="21"/>
          <w:highlight w:val="none"/>
          <w:shd w:val="clear" w:color="auto" w:fill="FFFFFF"/>
        </w:rPr>
        <w:t>选择下列第</w:t>
      </w:r>
      <w:r>
        <w:rPr>
          <w:rFonts w:hint="eastAsia" w:ascii="宋体" w:hAnsi="宋体" w:cs="宋体"/>
          <w:b w:val="0"/>
          <w:bCs/>
          <w:color w:val="auto"/>
          <w:szCs w:val="21"/>
          <w:highlight w:val="none"/>
          <w:u w:val="single"/>
          <w:shd w:val="clear" w:color="auto" w:fill="FFFFFF"/>
        </w:rPr>
        <w:t xml:space="preserve">   </w:t>
      </w:r>
      <w:r>
        <w:rPr>
          <w:rFonts w:hint="eastAsia" w:ascii="宋体" w:hAnsi="宋体" w:cs="宋体"/>
          <w:b w:val="0"/>
          <w:bCs/>
          <w:color w:val="auto"/>
          <w:szCs w:val="21"/>
          <w:highlight w:val="none"/>
          <w:shd w:val="clear" w:color="auto" w:fill="FFFFFF"/>
        </w:rPr>
        <w:t>种方式解决：</w:t>
      </w:r>
    </w:p>
    <w:p w14:paraId="7F0343DE">
      <w:pPr>
        <w:spacing w:line="360" w:lineRule="auto"/>
        <w:ind w:firstLine="420" w:firstLineChars="200"/>
        <w:rPr>
          <w:rFonts w:hint="eastAsia" w:ascii="宋体" w:hAnsi="宋体" w:cs="宋体"/>
          <w:b w:val="0"/>
          <w:bCs/>
          <w:color w:val="auto"/>
          <w:highlight w:val="none"/>
          <w:shd w:val="clear" w:color="auto" w:fill="FFFFFF"/>
        </w:rPr>
      </w:pPr>
      <w:r>
        <w:rPr>
          <w:rFonts w:hint="eastAsia" w:ascii="宋体" w:hAnsi="宋体" w:cs="宋体"/>
          <w:b w:val="0"/>
          <w:bCs/>
          <w:color w:val="auto"/>
          <w:highlight w:val="none"/>
          <w:shd w:val="clear" w:color="auto" w:fill="FFFFFF"/>
        </w:rPr>
        <w:t>（1）</w:t>
      </w:r>
      <w:r>
        <w:rPr>
          <w:rFonts w:hint="eastAsia" w:ascii="宋体" w:hAnsi="宋体" w:cs="宋体"/>
          <w:b w:val="0"/>
          <w:bCs/>
          <w:color w:val="auto"/>
          <w:szCs w:val="21"/>
          <w:highlight w:val="none"/>
        </w:rPr>
        <w:t>向</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仲裁委员会申请仲裁；</w:t>
      </w:r>
    </w:p>
    <w:p w14:paraId="7F0343DF">
      <w:pPr>
        <w:tabs>
          <w:tab w:val="left" w:pos="1134"/>
        </w:tabs>
        <w:spacing w:line="360" w:lineRule="auto"/>
        <w:ind w:firstLine="420"/>
        <w:rPr>
          <w:rFonts w:hint="eastAsia" w:ascii="宋体" w:hAnsi="宋体" w:cs="宋体"/>
          <w:b w:val="0"/>
          <w:bCs/>
          <w:color w:val="auto"/>
          <w:szCs w:val="21"/>
          <w:highlight w:val="none"/>
          <w:shd w:val="clear" w:color="auto" w:fill="FFFFFF"/>
        </w:rPr>
      </w:pPr>
      <w:r>
        <w:rPr>
          <w:rFonts w:hint="eastAsia" w:ascii="宋体" w:hAnsi="宋体" w:cs="宋体"/>
          <w:b w:val="0"/>
          <w:bCs/>
          <w:color w:val="auto"/>
          <w:szCs w:val="21"/>
          <w:highlight w:val="none"/>
          <w:shd w:val="clear" w:color="auto" w:fill="FFFFFF"/>
        </w:rPr>
        <w:t>（2）</w:t>
      </w:r>
      <w:r>
        <w:rPr>
          <w:rFonts w:hint="eastAsia" w:ascii="宋体" w:hAnsi="宋体" w:cs="宋体"/>
          <w:b w:val="0"/>
          <w:bCs/>
          <w:color w:val="auto"/>
          <w:szCs w:val="21"/>
          <w:highlight w:val="none"/>
        </w:rPr>
        <w:t>向</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人民法院</w:t>
      </w:r>
      <w:r>
        <w:rPr>
          <w:rFonts w:hint="eastAsia" w:ascii="宋体" w:hAnsi="宋体" w:cs="宋体"/>
          <w:b w:val="0"/>
          <w:bCs/>
          <w:color w:val="auto"/>
          <w:szCs w:val="21"/>
          <w:highlight w:val="none"/>
          <w:shd w:val="clear" w:color="auto" w:fill="FFFFFF"/>
        </w:rPr>
        <w:t>提起诉讼。</w:t>
      </w:r>
    </w:p>
    <w:p w14:paraId="7F0343E0">
      <w:pPr>
        <w:pStyle w:val="101"/>
        <w:keepNext w:val="0"/>
        <w:keepLines w:val="0"/>
        <w:tabs>
          <w:tab w:val="left" w:pos="567"/>
        </w:tabs>
        <w:spacing w:before="156" w:after="156"/>
        <w:rPr>
          <w:rFonts w:ascii="宋体" w:hAnsi="宋体" w:eastAsia="宋体"/>
          <w:b w:val="0"/>
          <w:bCs/>
          <w:color w:val="auto"/>
          <w:sz w:val="32"/>
          <w:szCs w:val="32"/>
          <w:highlight w:val="none"/>
        </w:rPr>
      </w:pPr>
      <w:bookmarkStart w:id="882" w:name="_Toc531098994"/>
      <w:bookmarkStart w:id="883" w:name="_Toc26829"/>
      <w:bookmarkStart w:id="884" w:name="_Toc381358697"/>
      <w:bookmarkStart w:id="885" w:name="_Toc7114"/>
      <w:bookmarkStart w:id="886" w:name="_Toc26355"/>
      <w:bookmarkStart w:id="887" w:name="_Toc2881834"/>
      <w:bookmarkStart w:id="888" w:name="_Toc255494584"/>
      <w:bookmarkStart w:id="889" w:name="_Toc256955788"/>
      <w:bookmarkStart w:id="890" w:name="_Toc9195"/>
      <w:bookmarkStart w:id="891" w:name="_Toc1990"/>
      <w:bookmarkStart w:id="892" w:name="_Toc218048858"/>
      <w:bookmarkStart w:id="893" w:name="_Toc22474"/>
      <w:bookmarkStart w:id="894" w:name="_Toc375218864"/>
      <w:r>
        <w:rPr>
          <w:rFonts w:hint="eastAsia" w:ascii="宋体" w:hAnsi="宋体" w:eastAsia="宋体"/>
          <w:b w:val="0"/>
          <w:bCs/>
          <w:color w:val="auto"/>
          <w:sz w:val="32"/>
          <w:szCs w:val="32"/>
          <w:highlight w:val="none"/>
        </w:rPr>
        <w:t>18.补充条款</w:t>
      </w:r>
      <w:bookmarkEnd w:id="882"/>
      <w:bookmarkEnd w:id="883"/>
      <w:bookmarkEnd w:id="884"/>
      <w:bookmarkEnd w:id="885"/>
      <w:bookmarkEnd w:id="886"/>
      <w:bookmarkEnd w:id="887"/>
      <w:bookmarkEnd w:id="888"/>
      <w:bookmarkEnd w:id="889"/>
      <w:bookmarkEnd w:id="890"/>
      <w:bookmarkEnd w:id="891"/>
      <w:bookmarkEnd w:id="892"/>
      <w:bookmarkEnd w:id="893"/>
      <w:bookmarkEnd w:id="894"/>
    </w:p>
    <w:bookmarkEnd w:id="764"/>
    <w:bookmarkEnd w:id="765"/>
    <w:bookmarkEnd w:id="766"/>
    <w:bookmarkEnd w:id="767"/>
    <w:bookmarkEnd w:id="768"/>
    <w:bookmarkEnd w:id="769"/>
    <w:bookmarkEnd w:id="770"/>
    <w:p w14:paraId="7F0343E1">
      <w:pPr>
        <w:tabs>
          <w:tab w:val="left" w:pos="1134"/>
        </w:tabs>
        <w:spacing w:line="360" w:lineRule="auto"/>
        <w:ind w:firstLine="420"/>
        <w:rPr>
          <w:rFonts w:hint="eastAsia" w:ascii="宋体" w:hAnsi="宋体" w:cs="宋体"/>
          <w:b w:val="0"/>
          <w:bCs/>
          <w:color w:val="auto"/>
          <w:highlight w:val="none"/>
          <w:u w:val="single"/>
          <w:shd w:val="clear" w:color="auto" w:fill="FFFFFF"/>
        </w:rPr>
      </w:pPr>
      <w:r>
        <w:rPr>
          <w:rFonts w:hint="eastAsia" w:ascii="宋体" w:hAnsi="宋体" w:cs="宋体"/>
          <w:b w:val="0"/>
          <w:bCs/>
          <w:color w:val="auto"/>
          <w:highlight w:val="none"/>
          <w:u w:val="single"/>
          <w:shd w:val="clear" w:color="auto" w:fill="FFFFFF"/>
        </w:rPr>
        <w:t xml:space="preserve">    通用合同或专用条款与供货要求不一致的以本文件中第五章的供货要求为准。               </w:t>
      </w:r>
      <w:bookmarkEnd w:id="771"/>
      <w:bookmarkEnd w:id="772"/>
      <w:bookmarkStart w:id="895" w:name="_Toc532384193"/>
      <w:bookmarkStart w:id="896" w:name="_Toc1231"/>
      <w:bookmarkStart w:id="897" w:name="_Toc531632627"/>
    </w:p>
    <w:p w14:paraId="7F0343E2">
      <w:pPr>
        <w:pStyle w:val="4"/>
        <w:spacing w:before="0" w:after="0" w:line="360" w:lineRule="auto"/>
        <w:rPr>
          <w:rFonts w:hint="eastAsia" w:ascii="宋体" w:hAnsi="宋体" w:cs="宋体"/>
          <w:b w:val="0"/>
          <w:bCs/>
          <w:color w:val="auto"/>
          <w:sz w:val="21"/>
          <w:szCs w:val="24"/>
          <w:highlight w:val="none"/>
          <w:u w:val="single"/>
          <w:shd w:val="clear" w:color="auto" w:fill="FFFFFF"/>
        </w:rPr>
      </w:pPr>
    </w:p>
    <w:p w14:paraId="7F0343E3">
      <w:pPr>
        <w:pStyle w:val="2"/>
        <w:rPr>
          <w:rFonts w:ascii="宋体" w:hAnsi="宋体" w:cs="宋体"/>
          <w:b w:val="0"/>
          <w:bCs/>
          <w:color w:val="auto"/>
          <w:highlight w:val="none"/>
        </w:rPr>
      </w:pPr>
    </w:p>
    <w:bookmarkEnd w:id="895"/>
    <w:bookmarkEnd w:id="896"/>
    <w:bookmarkEnd w:id="897"/>
    <w:p w14:paraId="7F0343E4">
      <w:pPr>
        <w:jc w:val="center"/>
        <w:outlineLvl w:val="1"/>
        <w:rPr>
          <w:rFonts w:hint="eastAsia" w:ascii="宋体" w:hAnsi="宋体" w:cs="宋体"/>
          <w:b w:val="0"/>
          <w:bCs/>
          <w:color w:val="auto"/>
          <w:szCs w:val="21"/>
          <w:highlight w:val="none"/>
        </w:rPr>
      </w:pPr>
      <w:r>
        <w:rPr>
          <w:rFonts w:hint="eastAsia" w:ascii="宋体" w:hAnsi="宋体" w:cs="宋体"/>
          <w:b w:val="0"/>
          <w:bCs/>
          <w:color w:val="auto"/>
          <w:szCs w:val="21"/>
          <w:highlight w:val="none"/>
        </w:rPr>
        <w:br w:type="page"/>
      </w:r>
      <w:bookmarkStart w:id="898" w:name="_Toc1774"/>
      <w:r>
        <w:rPr>
          <w:rFonts w:hint="eastAsia" w:ascii="宋体" w:hAnsi="宋体" w:cs="宋体"/>
          <w:b w:val="0"/>
          <w:bCs/>
          <w:color w:val="auto"/>
          <w:kern w:val="0"/>
          <w:sz w:val="28"/>
          <w:szCs w:val="28"/>
          <w:highlight w:val="none"/>
        </w:rPr>
        <w:t>第三节 合同附件格式</w:t>
      </w:r>
      <w:r>
        <w:rPr>
          <w:rFonts w:hint="eastAsia" w:ascii="宋体" w:hAnsi="宋体" w:cs="宋体"/>
          <w:b w:val="0"/>
          <w:bCs/>
          <w:color w:val="auto"/>
          <w:szCs w:val="21"/>
          <w:highlight w:val="none"/>
        </w:rPr>
        <w:br w:type="page"/>
      </w:r>
      <w:bookmarkEnd w:id="898"/>
    </w:p>
    <w:p w14:paraId="7F0343E5">
      <w:pPr>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rPr>
        <w:t>附件一：合同协议书</w:t>
      </w:r>
    </w:p>
    <w:p w14:paraId="7F0343E6">
      <w:pPr>
        <w:keepNext/>
        <w:keepLines/>
        <w:spacing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kern w:val="0"/>
          <w:sz w:val="28"/>
          <w:szCs w:val="28"/>
          <w:highlight w:val="none"/>
        </w:rPr>
        <w:t>合同协议书</w:t>
      </w:r>
    </w:p>
    <w:p w14:paraId="7F0343E7">
      <w:pPr>
        <w:widowControl/>
        <w:tabs>
          <w:tab w:val="left" w:pos="1044"/>
          <w:tab w:val="left" w:pos="9072"/>
          <w:tab w:val="left" w:pos="9781"/>
        </w:tabs>
        <w:spacing w:line="360" w:lineRule="auto"/>
        <w:ind w:firstLine="420" w:firstLineChars="200"/>
        <w:jc w:val="left"/>
        <w:rPr>
          <w:rFonts w:ascii="宋体" w:hAnsi="宋体" w:cs="宋体"/>
          <w:b w:val="0"/>
          <w:bCs/>
          <w:color w:val="auto"/>
          <w:highlight w:val="none"/>
        </w:rPr>
      </w:pPr>
      <w:r>
        <w:rPr>
          <w:rFonts w:ascii="宋体" w:hAnsi="宋体" w:cs="宋体"/>
          <w:b w:val="0"/>
          <w:bCs/>
          <w:color w:val="auto"/>
          <w:highlight w:val="none"/>
          <w:u w:val="single"/>
        </w:rPr>
        <w:t xml:space="preserve">               </w:t>
      </w:r>
      <w:r>
        <w:rPr>
          <w:rFonts w:hint="eastAsia" w:ascii="宋体" w:hAnsi="宋体" w:cs="宋体"/>
          <w:b w:val="0"/>
          <w:bCs/>
          <w:color w:val="auto"/>
          <w:highlight w:val="none"/>
        </w:rPr>
        <w:t>（买方名称，以下简称“买方”）为获得</w:t>
      </w:r>
      <w:r>
        <w:rPr>
          <w:rFonts w:ascii="宋体" w:hAnsi="宋体" w:cs="宋体"/>
          <w:b w:val="0"/>
          <w:bCs/>
          <w:color w:val="auto"/>
          <w:highlight w:val="none"/>
          <w:u w:val="single"/>
        </w:rPr>
        <w:t xml:space="preserve"> </w:t>
      </w:r>
      <w:r>
        <w:rPr>
          <w:rFonts w:hint="eastAsia" w:ascii="宋体" w:hAnsi="宋体" w:cs="宋体"/>
          <w:b w:val="0"/>
          <w:bCs/>
          <w:color w:val="auto"/>
          <w:highlight w:val="none"/>
          <w:u w:val="single"/>
        </w:rPr>
        <w:t xml:space="preserve">    （项目名称）</w:t>
      </w:r>
      <w:r>
        <w:rPr>
          <w:rFonts w:hint="eastAsia" w:ascii="宋体" w:hAnsi="宋体" w:cs="宋体"/>
          <w:b w:val="0"/>
          <w:bCs/>
          <w:color w:val="auto"/>
          <w:highlight w:val="none"/>
        </w:rPr>
        <w:t>合同</w:t>
      </w:r>
      <w:r>
        <w:rPr>
          <w:rFonts w:hint="eastAsia" w:ascii="宋体" w:hAnsi="宋体" w:cs="宋体"/>
          <w:b w:val="0"/>
          <w:bCs/>
          <w:color w:val="auto"/>
          <w:spacing w:val="-2"/>
          <w:kern w:val="0"/>
          <w:highlight w:val="none"/>
        </w:rPr>
        <w:t>设</w:t>
      </w:r>
      <w:r>
        <w:rPr>
          <w:rFonts w:hint="eastAsia" w:ascii="宋体" w:hAnsi="宋体" w:cs="宋体"/>
          <w:b w:val="0"/>
          <w:bCs/>
          <w:color w:val="auto"/>
          <w:kern w:val="0"/>
          <w:highlight w:val="none"/>
        </w:rPr>
        <w:t>备</w:t>
      </w:r>
      <w:r>
        <w:rPr>
          <w:rFonts w:hint="eastAsia" w:ascii="宋体" w:hAnsi="宋体" w:cs="宋体"/>
          <w:b w:val="0"/>
          <w:bCs/>
          <w:color w:val="auto"/>
          <w:spacing w:val="-2"/>
          <w:kern w:val="0"/>
          <w:highlight w:val="none"/>
        </w:rPr>
        <w:t>和</w:t>
      </w:r>
      <w:r>
        <w:rPr>
          <w:rFonts w:hint="eastAsia" w:ascii="宋体" w:hAnsi="宋体" w:cs="宋体"/>
          <w:b w:val="0"/>
          <w:bCs/>
          <w:color w:val="auto"/>
          <w:kern w:val="0"/>
          <w:highlight w:val="none"/>
        </w:rPr>
        <w:t>技</w:t>
      </w:r>
      <w:r>
        <w:rPr>
          <w:rFonts w:hint="eastAsia" w:ascii="宋体" w:hAnsi="宋体" w:cs="宋体"/>
          <w:b w:val="0"/>
          <w:bCs/>
          <w:color w:val="auto"/>
          <w:spacing w:val="-2"/>
          <w:kern w:val="0"/>
          <w:highlight w:val="none"/>
        </w:rPr>
        <w:t>术</w:t>
      </w:r>
      <w:r>
        <w:rPr>
          <w:rFonts w:hint="eastAsia" w:ascii="宋体" w:hAnsi="宋体" w:cs="宋体"/>
          <w:b w:val="0"/>
          <w:bCs/>
          <w:color w:val="auto"/>
          <w:kern w:val="0"/>
          <w:highlight w:val="none"/>
        </w:rPr>
        <w:t>服</w:t>
      </w:r>
      <w:r>
        <w:rPr>
          <w:rFonts w:hint="eastAsia" w:ascii="宋体" w:hAnsi="宋体" w:cs="宋体"/>
          <w:b w:val="0"/>
          <w:bCs/>
          <w:color w:val="auto"/>
          <w:spacing w:val="-2"/>
          <w:kern w:val="0"/>
          <w:highlight w:val="none"/>
        </w:rPr>
        <w:t>务</w:t>
      </w:r>
      <w:r>
        <w:rPr>
          <w:rFonts w:hint="eastAsia" w:ascii="宋体" w:hAnsi="宋体" w:cs="宋体"/>
          <w:b w:val="0"/>
          <w:bCs/>
          <w:color w:val="auto"/>
          <w:kern w:val="0"/>
          <w:highlight w:val="none"/>
        </w:rPr>
        <w:t>和</w:t>
      </w:r>
      <w:r>
        <w:rPr>
          <w:rFonts w:hint="eastAsia" w:ascii="宋体" w:hAnsi="宋体" w:cs="宋体"/>
          <w:b w:val="0"/>
          <w:bCs/>
          <w:color w:val="auto"/>
          <w:spacing w:val="-2"/>
          <w:kern w:val="0"/>
          <w:highlight w:val="none"/>
        </w:rPr>
        <w:t>质保期服务</w:t>
      </w:r>
      <w:r>
        <w:rPr>
          <w:rFonts w:hint="eastAsia" w:ascii="宋体" w:hAnsi="宋体" w:cs="宋体"/>
          <w:b w:val="0"/>
          <w:bCs/>
          <w:color w:val="auto"/>
          <w:highlight w:val="none"/>
        </w:rPr>
        <w:t>，已接受</w:t>
      </w:r>
      <w:r>
        <w:rPr>
          <w:rFonts w:ascii="宋体" w:hAnsi="宋体" w:cs="宋体"/>
          <w:b w:val="0"/>
          <w:bCs/>
          <w:color w:val="auto"/>
          <w:highlight w:val="none"/>
          <w:u w:val="single"/>
        </w:rPr>
        <w:t xml:space="preserve">         </w:t>
      </w:r>
      <w:r>
        <w:rPr>
          <w:rFonts w:hint="eastAsia" w:ascii="宋体" w:hAnsi="宋体" w:cs="宋体"/>
          <w:b w:val="0"/>
          <w:bCs/>
          <w:color w:val="auto"/>
          <w:highlight w:val="none"/>
        </w:rPr>
        <w:t>（卖方名称，以下简称“卖方”）为提供上述合同</w:t>
      </w:r>
      <w:r>
        <w:rPr>
          <w:rFonts w:hint="eastAsia" w:ascii="宋体" w:hAnsi="宋体" w:cs="宋体"/>
          <w:b w:val="0"/>
          <w:bCs/>
          <w:color w:val="auto"/>
          <w:spacing w:val="-2"/>
          <w:kern w:val="0"/>
          <w:highlight w:val="none"/>
        </w:rPr>
        <w:t>设</w:t>
      </w:r>
      <w:r>
        <w:rPr>
          <w:rFonts w:hint="eastAsia" w:ascii="宋体" w:hAnsi="宋体" w:cs="宋体"/>
          <w:b w:val="0"/>
          <w:bCs/>
          <w:color w:val="auto"/>
          <w:kern w:val="0"/>
          <w:highlight w:val="none"/>
        </w:rPr>
        <w:t>备</w:t>
      </w:r>
      <w:r>
        <w:rPr>
          <w:rFonts w:hint="eastAsia" w:ascii="宋体" w:hAnsi="宋体" w:cs="宋体"/>
          <w:b w:val="0"/>
          <w:bCs/>
          <w:color w:val="auto"/>
          <w:spacing w:val="-2"/>
          <w:kern w:val="0"/>
          <w:highlight w:val="none"/>
        </w:rPr>
        <w:t>和</w:t>
      </w:r>
      <w:r>
        <w:rPr>
          <w:rFonts w:hint="eastAsia" w:ascii="宋体" w:hAnsi="宋体" w:cs="宋体"/>
          <w:b w:val="0"/>
          <w:bCs/>
          <w:color w:val="auto"/>
          <w:kern w:val="0"/>
          <w:highlight w:val="none"/>
        </w:rPr>
        <w:t>技</w:t>
      </w:r>
      <w:r>
        <w:rPr>
          <w:rFonts w:hint="eastAsia" w:ascii="宋体" w:hAnsi="宋体" w:cs="宋体"/>
          <w:b w:val="0"/>
          <w:bCs/>
          <w:color w:val="auto"/>
          <w:spacing w:val="-2"/>
          <w:kern w:val="0"/>
          <w:highlight w:val="none"/>
        </w:rPr>
        <w:t>术</w:t>
      </w:r>
      <w:r>
        <w:rPr>
          <w:rFonts w:hint="eastAsia" w:ascii="宋体" w:hAnsi="宋体" w:cs="宋体"/>
          <w:b w:val="0"/>
          <w:bCs/>
          <w:color w:val="auto"/>
          <w:kern w:val="0"/>
          <w:highlight w:val="none"/>
        </w:rPr>
        <w:t>服</w:t>
      </w:r>
      <w:r>
        <w:rPr>
          <w:rFonts w:hint="eastAsia" w:ascii="宋体" w:hAnsi="宋体" w:cs="宋体"/>
          <w:b w:val="0"/>
          <w:bCs/>
          <w:color w:val="auto"/>
          <w:spacing w:val="-2"/>
          <w:kern w:val="0"/>
          <w:highlight w:val="none"/>
        </w:rPr>
        <w:t>务</w:t>
      </w:r>
      <w:r>
        <w:rPr>
          <w:rFonts w:hint="eastAsia" w:ascii="宋体" w:hAnsi="宋体" w:cs="宋体"/>
          <w:b w:val="0"/>
          <w:bCs/>
          <w:color w:val="auto"/>
          <w:kern w:val="0"/>
          <w:highlight w:val="none"/>
        </w:rPr>
        <w:t>和</w:t>
      </w:r>
      <w:r>
        <w:rPr>
          <w:rFonts w:hint="eastAsia" w:ascii="宋体" w:hAnsi="宋体" w:cs="宋体"/>
          <w:b w:val="0"/>
          <w:bCs/>
          <w:color w:val="auto"/>
          <w:spacing w:val="-2"/>
          <w:kern w:val="0"/>
          <w:highlight w:val="none"/>
        </w:rPr>
        <w:t>质保期服务所作</w:t>
      </w:r>
      <w:r>
        <w:rPr>
          <w:rFonts w:hint="eastAsia" w:ascii="宋体" w:hAnsi="宋体" w:cs="宋体"/>
          <w:b w:val="0"/>
          <w:bCs/>
          <w:color w:val="auto"/>
          <w:highlight w:val="none"/>
        </w:rPr>
        <w:t>的投标。买卖双方共同达成如下协议：</w:t>
      </w:r>
    </w:p>
    <w:p w14:paraId="7F0343E8">
      <w:pPr>
        <w:widowControl/>
        <w:tabs>
          <w:tab w:val="left" w:pos="1044"/>
          <w:tab w:val="left" w:pos="9072"/>
          <w:tab w:val="left" w:pos="9781"/>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1.本协议书与下列文件一起构成合同文件：</w:t>
      </w:r>
    </w:p>
    <w:p w14:paraId="7F0343E9">
      <w:pPr>
        <w:widowControl/>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（1）中标通知书；</w:t>
      </w:r>
    </w:p>
    <w:p w14:paraId="7F0343EA">
      <w:pPr>
        <w:widowControl/>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（2）投标函；</w:t>
      </w:r>
    </w:p>
    <w:p w14:paraId="7F0343EB">
      <w:pPr>
        <w:widowControl/>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w:t>
      </w:r>
      <w:r>
        <w:rPr>
          <w:rFonts w:hint="eastAsia" w:ascii="宋体" w:hAnsi="宋体" w:cs="宋体"/>
          <w:b w:val="0"/>
          <w:bCs/>
          <w:color w:val="auto"/>
          <w:highlight w:val="none"/>
        </w:rPr>
        <w:t>商务和技术偏差表</w:t>
      </w:r>
      <w:r>
        <w:rPr>
          <w:rFonts w:hint="eastAsia" w:ascii="宋体" w:hAnsi="宋体" w:cs="宋体"/>
          <w:b w:val="0"/>
          <w:bCs/>
          <w:color w:val="auto"/>
          <w:kern w:val="0"/>
          <w:szCs w:val="21"/>
          <w:highlight w:val="none"/>
        </w:rPr>
        <w:t>；</w:t>
      </w:r>
    </w:p>
    <w:p w14:paraId="7F0343EC">
      <w:pPr>
        <w:widowControl/>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（4）专用合同条款；</w:t>
      </w:r>
    </w:p>
    <w:p w14:paraId="7F0343ED">
      <w:pPr>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（5）通用合同条款；</w:t>
      </w:r>
    </w:p>
    <w:p w14:paraId="7F0343EE">
      <w:pPr>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（6）供货要求；</w:t>
      </w:r>
    </w:p>
    <w:p w14:paraId="7F0343EF">
      <w:pPr>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（7）分项报价表；</w:t>
      </w:r>
    </w:p>
    <w:p w14:paraId="7F0343F0">
      <w:pPr>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（8）</w:t>
      </w:r>
      <w:r>
        <w:rPr>
          <w:rFonts w:hint="eastAsia" w:ascii="宋体" w:hAnsi="宋体" w:cs="宋体"/>
          <w:b w:val="0"/>
          <w:bCs/>
          <w:color w:val="auto"/>
          <w:highlight w:val="none"/>
        </w:rPr>
        <w:t>中标设备技术性能指标的详细描述</w:t>
      </w:r>
      <w:r>
        <w:rPr>
          <w:rFonts w:hint="eastAsia" w:ascii="宋体" w:hAnsi="宋体" w:cs="宋体"/>
          <w:b w:val="0"/>
          <w:bCs/>
          <w:color w:val="auto"/>
          <w:kern w:val="0"/>
          <w:szCs w:val="21"/>
          <w:highlight w:val="none"/>
        </w:rPr>
        <w:t>；</w:t>
      </w:r>
    </w:p>
    <w:p w14:paraId="7F0343F1">
      <w:pPr>
        <w:widowControl/>
        <w:tabs>
          <w:tab w:val="left" w:pos="9072"/>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（9）</w:t>
      </w:r>
      <w:r>
        <w:rPr>
          <w:rFonts w:hint="eastAsia" w:ascii="宋体" w:hAnsi="宋体" w:cs="宋体"/>
          <w:b w:val="0"/>
          <w:bCs/>
          <w:color w:val="auto"/>
          <w:highlight w:val="none"/>
        </w:rPr>
        <w:t>技术服务和质保期服务计划</w:t>
      </w:r>
      <w:r>
        <w:rPr>
          <w:rFonts w:hint="eastAsia" w:ascii="宋体" w:hAnsi="宋体" w:cs="宋体"/>
          <w:b w:val="0"/>
          <w:bCs/>
          <w:color w:val="auto"/>
          <w:kern w:val="0"/>
          <w:szCs w:val="21"/>
          <w:highlight w:val="none"/>
        </w:rPr>
        <w:t>；</w:t>
      </w:r>
    </w:p>
    <w:p w14:paraId="7F0343F2">
      <w:pPr>
        <w:widowControl/>
        <w:tabs>
          <w:tab w:val="left" w:pos="1044"/>
          <w:tab w:val="left" w:pos="9072"/>
          <w:tab w:val="left" w:pos="9781"/>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（10）其他合同文件。</w:t>
      </w:r>
    </w:p>
    <w:p w14:paraId="7F0343F3">
      <w:pPr>
        <w:widowControl/>
        <w:tabs>
          <w:tab w:val="left" w:pos="1044"/>
          <w:tab w:val="left" w:pos="9072"/>
          <w:tab w:val="left" w:pos="9781"/>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2.上述合同文件互相补充和解释。如果合同文件之间存在矛盾或不一致之处，以上述文件的排列顺序在先者为准。</w:t>
      </w:r>
    </w:p>
    <w:p w14:paraId="7F0343F4">
      <w:pPr>
        <w:widowControl/>
        <w:tabs>
          <w:tab w:val="left" w:pos="9072"/>
          <w:tab w:val="left" w:pos="9640"/>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3.签约合同价：人民币（大写）</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pacing w:val="-3"/>
          <w:highlight w:val="none"/>
        </w:rPr>
        <w:t>（</w:t>
      </w:r>
      <w:r>
        <w:rPr>
          <w:rFonts w:ascii="宋体" w:hAnsi="宋体" w:cs="宋体"/>
          <w:b w:val="0"/>
          <w:bCs/>
          <w:color w:val="auto"/>
          <w:spacing w:val="-3"/>
          <w:highlight w:val="none"/>
        </w:rPr>
        <w:t>¥</w:t>
      </w:r>
      <w:r>
        <w:rPr>
          <w:rFonts w:ascii="宋体" w:hAnsi="宋体" w:cs="宋体"/>
          <w:b w:val="0"/>
          <w:bCs/>
          <w:color w:val="auto"/>
          <w:spacing w:val="-3"/>
          <w:highlight w:val="none"/>
          <w:u w:val="single"/>
        </w:rPr>
        <w:t xml:space="preserve">               </w:t>
      </w:r>
      <w:r>
        <w:rPr>
          <w:rFonts w:hint="eastAsia" w:ascii="宋体" w:hAnsi="宋体" w:cs="宋体"/>
          <w:b w:val="0"/>
          <w:bCs/>
          <w:color w:val="auto"/>
          <w:spacing w:val="-3"/>
          <w:highlight w:val="none"/>
        </w:rPr>
        <w:t>）。</w:t>
      </w:r>
    </w:p>
    <w:p w14:paraId="7F0343F5">
      <w:pPr>
        <w:widowControl/>
        <w:tabs>
          <w:tab w:val="left" w:pos="9640"/>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w:t>
      </w:r>
      <w:r>
        <w:rPr>
          <w:rFonts w:hint="eastAsia" w:ascii="宋体" w:hAnsi="宋体" w:cs="宋体"/>
          <w:b w:val="0"/>
          <w:bCs/>
          <w:color w:val="auto"/>
          <w:highlight w:val="none"/>
        </w:rPr>
        <w:t>卖方承诺保证完全按照合同约定提供合同设备和技术服务和质保期服务并修补缺陷。</w:t>
      </w:r>
    </w:p>
    <w:p w14:paraId="7F0343F6">
      <w:pPr>
        <w:widowControl/>
        <w:tabs>
          <w:tab w:val="left" w:pos="9640"/>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5.</w:t>
      </w:r>
      <w:r>
        <w:rPr>
          <w:rFonts w:hint="eastAsia" w:ascii="宋体" w:hAnsi="宋体" w:cs="宋体"/>
          <w:b w:val="0"/>
          <w:bCs/>
          <w:color w:val="auto"/>
          <w:highlight w:val="none"/>
        </w:rPr>
        <w:t>买方承诺保证按照合同约定的条件、时间和方式向卖方支付合同价款。</w:t>
      </w:r>
    </w:p>
    <w:p w14:paraId="7F0343F7">
      <w:pPr>
        <w:widowControl/>
        <w:tabs>
          <w:tab w:val="left" w:pos="9640"/>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6.</w:t>
      </w:r>
      <w:r>
        <w:rPr>
          <w:rFonts w:hint="eastAsia" w:ascii="宋体" w:hAnsi="宋体" w:cs="宋体"/>
          <w:b w:val="0"/>
          <w:bCs/>
          <w:color w:val="auto"/>
          <w:highlight w:val="none"/>
        </w:rPr>
        <w:t>本合同协议书一式</w:t>
      </w:r>
      <w:r>
        <w:rPr>
          <w:rFonts w:hint="eastAsia" w:ascii="宋体" w:hAnsi="宋体" w:cs="宋体"/>
          <w:b w:val="0"/>
          <w:bCs/>
          <w:color w:val="auto"/>
          <w:highlight w:val="none"/>
          <w:u w:val="single"/>
        </w:rPr>
        <w:t xml:space="preserve">   </w:t>
      </w:r>
      <w:r>
        <w:rPr>
          <w:rFonts w:hint="eastAsia" w:ascii="宋体" w:hAnsi="宋体" w:cs="宋体"/>
          <w:b w:val="0"/>
          <w:bCs/>
          <w:color w:val="auto"/>
          <w:highlight w:val="none"/>
        </w:rPr>
        <w:t xml:space="preserve">份，合同双方各执 </w:t>
      </w:r>
      <w:r>
        <w:rPr>
          <w:rFonts w:hint="eastAsia" w:ascii="宋体" w:hAnsi="宋体" w:cs="宋体"/>
          <w:b w:val="0"/>
          <w:bCs/>
          <w:color w:val="auto"/>
          <w:highlight w:val="none"/>
          <w:u w:val="single"/>
        </w:rPr>
        <w:t xml:space="preserve">   </w:t>
      </w:r>
      <w:r>
        <w:rPr>
          <w:rFonts w:hint="eastAsia" w:ascii="宋体" w:hAnsi="宋体" w:cs="宋体"/>
          <w:b w:val="0"/>
          <w:bCs/>
          <w:color w:val="auto"/>
          <w:highlight w:val="none"/>
        </w:rPr>
        <w:t>份。</w:t>
      </w:r>
    </w:p>
    <w:p w14:paraId="7F0343F8">
      <w:pPr>
        <w:widowControl/>
        <w:tabs>
          <w:tab w:val="left" w:pos="9640"/>
        </w:tabs>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7.</w:t>
      </w:r>
      <w:r>
        <w:rPr>
          <w:rFonts w:hint="eastAsia" w:ascii="宋体" w:hAnsi="宋体" w:cs="宋体"/>
          <w:b w:val="0"/>
          <w:bCs/>
          <w:color w:val="auto"/>
          <w:szCs w:val="21"/>
          <w:highlight w:val="none"/>
        </w:rPr>
        <w:t>合同未尽事宜，双方另行签订补充协议，补充协议是合同的组成部分。</w:t>
      </w:r>
    </w:p>
    <w:p w14:paraId="7F0343F9">
      <w:pPr>
        <w:widowControl/>
        <w:tabs>
          <w:tab w:val="left" w:pos="9640"/>
        </w:tabs>
        <w:spacing w:line="360" w:lineRule="auto"/>
        <w:ind w:firstLine="420" w:firstLineChars="200"/>
        <w:jc w:val="left"/>
        <w:rPr>
          <w:rFonts w:hint="eastAsia" w:ascii="宋体" w:hAnsi="宋体" w:cs="宋体"/>
          <w:b w:val="0"/>
          <w:bCs/>
          <w:color w:val="auto"/>
          <w:kern w:val="0"/>
          <w:szCs w:val="21"/>
          <w:highlight w:val="none"/>
        </w:rPr>
      </w:pPr>
    </w:p>
    <w:p w14:paraId="7F0343FA">
      <w:pPr>
        <w:pStyle w:val="2"/>
        <w:tabs>
          <w:tab w:val="left" w:pos="7854"/>
        </w:tabs>
        <w:autoSpaceDE w:val="0"/>
        <w:autoSpaceDN w:val="0"/>
        <w:spacing w:after="0" w:line="360" w:lineRule="auto"/>
        <w:jc w:val="right"/>
        <w:rPr>
          <w:rFonts w:ascii="宋体" w:hAnsi="宋体" w:cs="宋体"/>
          <w:b w:val="0"/>
          <w:bCs/>
          <w:color w:val="auto"/>
          <w:highlight w:val="none"/>
        </w:rPr>
      </w:pPr>
      <w:r>
        <w:rPr>
          <w:rFonts w:hint="eastAsia" w:ascii="宋体" w:hAnsi="宋体" w:cs="宋体"/>
          <w:b w:val="0"/>
          <w:bCs/>
          <w:color w:val="auto"/>
          <w:highlight w:val="none"/>
        </w:rPr>
        <w:t>买方：</w:t>
      </w:r>
      <w:r>
        <w:rPr>
          <w:rFonts w:ascii="宋体" w:hAnsi="宋体" w:cs="宋体"/>
          <w:b w:val="0"/>
          <w:bCs/>
          <w:color w:val="auto"/>
          <w:highlight w:val="none"/>
          <w:u w:val="single"/>
        </w:rPr>
        <w:t xml:space="preserve">                            </w:t>
      </w:r>
      <w:r>
        <w:rPr>
          <w:rFonts w:hint="eastAsia" w:ascii="宋体" w:hAnsi="宋体" w:cs="宋体"/>
          <w:b w:val="0"/>
          <w:bCs/>
          <w:color w:val="auto"/>
          <w:highlight w:val="none"/>
        </w:rPr>
        <w:t>（盖单位章）</w:t>
      </w:r>
    </w:p>
    <w:p w14:paraId="7F0343FB">
      <w:pPr>
        <w:pStyle w:val="2"/>
        <w:tabs>
          <w:tab w:val="left" w:pos="7854"/>
        </w:tabs>
        <w:autoSpaceDE w:val="0"/>
        <w:autoSpaceDN w:val="0"/>
        <w:spacing w:after="0" w:line="360" w:lineRule="auto"/>
        <w:jc w:val="right"/>
        <w:rPr>
          <w:rFonts w:ascii="宋体" w:hAnsi="宋体" w:cs="宋体"/>
          <w:b w:val="0"/>
          <w:bCs/>
          <w:color w:val="auto"/>
          <w:sz w:val="19"/>
          <w:highlight w:val="none"/>
        </w:rPr>
      </w:pPr>
      <w:r>
        <w:rPr>
          <w:rFonts w:hint="eastAsia" w:ascii="宋体" w:hAnsi="宋体" w:cs="宋体"/>
          <w:b w:val="0"/>
          <w:bCs/>
          <w:color w:val="auto"/>
          <w:highlight w:val="none"/>
        </w:rPr>
        <w:t>法定</w:t>
      </w:r>
      <w:r>
        <w:rPr>
          <w:rFonts w:hint="eastAsia" w:ascii="宋体" w:hAnsi="宋体" w:cs="宋体"/>
          <w:b w:val="0"/>
          <w:bCs/>
          <w:color w:val="auto"/>
          <w:spacing w:val="-3"/>
          <w:highlight w:val="none"/>
        </w:rPr>
        <w:t>代</w:t>
      </w:r>
      <w:r>
        <w:rPr>
          <w:rFonts w:hint="eastAsia" w:ascii="宋体" w:hAnsi="宋体" w:cs="宋体"/>
          <w:b w:val="0"/>
          <w:bCs/>
          <w:color w:val="auto"/>
          <w:highlight w:val="none"/>
        </w:rPr>
        <w:t>表</w:t>
      </w:r>
      <w:r>
        <w:rPr>
          <w:rFonts w:hint="eastAsia" w:ascii="宋体" w:hAnsi="宋体" w:cs="宋体"/>
          <w:b w:val="0"/>
          <w:bCs/>
          <w:color w:val="auto"/>
          <w:spacing w:val="-3"/>
          <w:highlight w:val="none"/>
        </w:rPr>
        <w:t>人</w:t>
      </w:r>
      <w:r>
        <w:rPr>
          <w:rFonts w:hint="eastAsia" w:ascii="宋体" w:hAnsi="宋体" w:cs="宋体"/>
          <w:b w:val="0"/>
          <w:bCs/>
          <w:color w:val="auto"/>
          <w:highlight w:val="none"/>
        </w:rPr>
        <w:t>（</w:t>
      </w:r>
      <w:r>
        <w:rPr>
          <w:rFonts w:hint="eastAsia" w:ascii="宋体" w:hAnsi="宋体" w:cs="宋体"/>
          <w:b w:val="0"/>
          <w:bCs/>
          <w:color w:val="auto"/>
          <w:spacing w:val="-3"/>
          <w:highlight w:val="none"/>
        </w:rPr>
        <w:t>单</w:t>
      </w:r>
      <w:r>
        <w:rPr>
          <w:rFonts w:hint="eastAsia" w:ascii="宋体" w:hAnsi="宋体" w:cs="宋体"/>
          <w:b w:val="0"/>
          <w:bCs/>
          <w:color w:val="auto"/>
          <w:highlight w:val="none"/>
        </w:rPr>
        <w:t>位</w:t>
      </w:r>
      <w:r>
        <w:rPr>
          <w:rFonts w:hint="eastAsia" w:ascii="宋体" w:hAnsi="宋体" w:cs="宋体"/>
          <w:b w:val="0"/>
          <w:bCs/>
          <w:color w:val="auto"/>
          <w:spacing w:val="-3"/>
          <w:highlight w:val="none"/>
        </w:rPr>
        <w:t>负</w:t>
      </w:r>
      <w:r>
        <w:rPr>
          <w:rFonts w:hint="eastAsia" w:ascii="宋体" w:hAnsi="宋体" w:cs="宋体"/>
          <w:b w:val="0"/>
          <w:bCs/>
          <w:color w:val="auto"/>
          <w:highlight w:val="none"/>
        </w:rPr>
        <w:t>责</w:t>
      </w:r>
      <w:r>
        <w:rPr>
          <w:rFonts w:hint="eastAsia" w:ascii="宋体" w:hAnsi="宋体" w:cs="宋体"/>
          <w:b w:val="0"/>
          <w:bCs/>
          <w:color w:val="auto"/>
          <w:spacing w:val="-3"/>
          <w:highlight w:val="none"/>
        </w:rPr>
        <w:t>人</w:t>
      </w:r>
      <w:r>
        <w:rPr>
          <w:rFonts w:hint="eastAsia" w:ascii="宋体" w:hAnsi="宋体" w:cs="宋体"/>
          <w:b w:val="0"/>
          <w:bCs/>
          <w:color w:val="auto"/>
          <w:highlight w:val="none"/>
        </w:rPr>
        <w:t>）或</w:t>
      </w:r>
      <w:r>
        <w:rPr>
          <w:rFonts w:hint="eastAsia" w:ascii="宋体" w:hAnsi="宋体" w:cs="宋体"/>
          <w:b w:val="0"/>
          <w:bCs/>
          <w:color w:val="auto"/>
          <w:spacing w:val="-3"/>
          <w:highlight w:val="none"/>
        </w:rPr>
        <w:t>其</w:t>
      </w:r>
      <w:r>
        <w:rPr>
          <w:rFonts w:hint="eastAsia" w:ascii="宋体" w:hAnsi="宋体" w:cs="宋体"/>
          <w:b w:val="0"/>
          <w:bCs/>
          <w:color w:val="auto"/>
          <w:highlight w:val="none"/>
        </w:rPr>
        <w:t>委</w:t>
      </w:r>
      <w:r>
        <w:rPr>
          <w:rFonts w:hint="eastAsia" w:ascii="宋体" w:hAnsi="宋体" w:cs="宋体"/>
          <w:b w:val="0"/>
          <w:bCs/>
          <w:color w:val="auto"/>
          <w:spacing w:val="-3"/>
          <w:highlight w:val="none"/>
        </w:rPr>
        <w:t>托</w:t>
      </w:r>
      <w:r>
        <w:rPr>
          <w:rFonts w:hint="eastAsia" w:ascii="宋体" w:hAnsi="宋体" w:cs="宋体"/>
          <w:b w:val="0"/>
          <w:bCs/>
          <w:color w:val="auto"/>
          <w:highlight w:val="none"/>
        </w:rPr>
        <w:t>代</w:t>
      </w:r>
      <w:r>
        <w:rPr>
          <w:rFonts w:hint="eastAsia" w:ascii="宋体" w:hAnsi="宋体" w:cs="宋体"/>
          <w:b w:val="0"/>
          <w:bCs/>
          <w:color w:val="auto"/>
          <w:spacing w:val="-3"/>
          <w:highlight w:val="none"/>
        </w:rPr>
        <w:t>理</w:t>
      </w:r>
      <w:r>
        <w:rPr>
          <w:rFonts w:hint="eastAsia" w:ascii="宋体" w:hAnsi="宋体" w:cs="宋体"/>
          <w:b w:val="0"/>
          <w:bCs/>
          <w:color w:val="auto"/>
          <w:highlight w:val="none"/>
        </w:rPr>
        <w:t>人</w:t>
      </w:r>
      <w:r>
        <w:rPr>
          <w:rFonts w:hint="eastAsia" w:ascii="宋体" w:hAnsi="宋体" w:cs="宋体"/>
          <w:b w:val="0"/>
          <w:bCs/>
          <w:color w:val="auto"/>
          <w:spacing w:val="-3"/>
          <w:highlight w:val="none"/>
        </w:rPr>
        <w:t>：</w:t>
      </w:r>
      <w:r>
        <w:rPr>
          <w:rFonts w:ascii="宋体" w:hAnsi="宋体" w:cs="宋体"/>
          <w:b w:val="0"/>
          <w:bCs/>
          <w:color w:val="auto"/>
          <w:spacing w:val="-3"/>
          <w:highlight w:val="none"/>
          <w:u w:val="single"/>
        </w:rPr>
        <w:t xml:space="preserve">             </w:t>
      </w:r>
      <w:r>
        <w:rPr>
          <w:rFonts w:hint="eastAsia" w:ascii="宋体" w:hAnsi="宋体" w:cs="宋体"/>
          <w:b w:val="0"/>
          <w:bCs/>
          <w:color w:val="auto"/>
          <w:spacing w:val="-3"/>
          <w:highlight w:val="none"/>
        </w:rPr>
        <w:t>（</w:t>
      </w:r>
      <w:r>
        <w:rPr>
          <w:rFonts w:hint="eastAsia" w:ascii="宋体" w:hAnsi="宋体" w:cs="宋体"/>
          <w:b w:val="0"/>
          <w:bCs/>
          <w:color w:val="auto"/>
          <w:highlight w:val="none"/>
        </w:rPr>
        <w:t>签</w:t>
      </w:r>
      <w:r>
        <w:rPr>
          <w:rFonts w:hint="eastAsia" w:ascii="宋体" w:hAnsi="宋体" w:cs="宋体"/>
          <w:b w:val="0"/>
          <w:bCs/>
          <w:color w:val="auto"/>
          <w:spacing w:val="-3"/>
          <w:highlight w:val="none"/>
        </w:rPr>
        <w:t>字</w:t>
      </w:r>
      <w:r>
        <w:rPr>
          <w:rFonts w:hint="eastAsia" w:ascii="宋体" w:hAnsi="宋体" w:cs="宋体"/>
          <w:b w:val="0"/>
          <w:bCs/>
          <w:color w:val="auto"/>
          <w:highlight w:val="none"/>
        </w:rPr>
        <w:t>）</w:t>
      </w:r>
    </w:p>
    <w:p w14:paraId="7F0343FC">
      <w:pPr>
        <w:pStyle w:val="2"/>
        <w:tabs>
          <w:tab w:val="left" w:pos="5438"/>
          <w:tab w:val="left" w:pos="6383"/>
          <w:tab w:val="left" w:pos="7326"/>
        </w:tabs>
        <w:autoSpaceDE w:val="0"/>
        <w:autoSpaceDN w:val="0"/>
        <w:spacing w:after="0" w:line="360" w:lineRule="auto"/>
        <w:jc w:val="right"/>
        <w:rPr>
          <w:rFonts w:ascii="宋体" w:hAnsi="宋体" w:cs="宋体"/>
          <w:b w:val="0"/>
          <w:bCs/>
          <w:color w:val="auto"/>
          <w:highlight w:val="none"/>
        </w:rPr>
      </w:pPr>
      <w:r>
        <w:rPr>
          <w:rFonts w:ascii="宋体" w:hAnsi="宋体" w:cs="宋体"/>
          <w:b w:val="0"/>
          <w:bCs/>
          <w:color w:val="auto"/>
          <w:highlight w:val="none"/>
          <w:u w:val="single"/>
        </w:rPr>
        <w:t xml:space="preserve">    </w:t>
      </w:r>
      <w:r>
        <w:rPr>
          <w:rFonts w:hint="eastAsia" w:ascii="宋体" w:hAnsi="宋体" w:cs="宋体"/>
          <w:b w:val="0"/>
          <w:bCs/>
          <w:color w:val="auto"/>
          <w:highlight w:val="none"/>
        </w:rPr>
        <w:t>年</w:t>
      </w:r>
      <w:r>
        <w:rPr>
          <w:rFonts w:ascii="宋体" w:hAnsi="宋体" w:cs="宋体"/>
          <w:b w:val="0"/>
          <w:bCs/>
          <w:color w:val="auto"/>
          <w:highlight w:val="none"/>
          <w:u w:val="single"/>
        </w:rPr>
        <w:t xml:space="preserve">    </w:t>
      </w:r>
      <w:r>
        <w:rPr>
          <w:rFonts w:hint="eastAsia" w:ascii="宋体" w:hAnsi="宋体" w:cs="宋体"/>
          <w:b w:val="0"/>
          <w:bCs/>
          <w:color w:val="auto"/>
          <w:spacing w:val="-3"/>
          <w:highlight w:val="none"/>
        </w:rPr>
        <w:t>月</w:t>
      </w:r>
      <w:r>
        <w:rPr>
          <w:rFonts w:ascii="宋体" w:hAnsi="宋体" w:cs="宋体"/>
          <w:b w:val="0"/>
          <w:bCs/>
          <w:color w:val="auto"/>
          <w:spacing w:val="-3"/>
          <w:highlight w:val="none"/>
          <w:u w:val="single"/>
        </w:rPr>
        <w:t xml:space="preserve">    </w:t>
      </w:r>
      <w:r>
        <w:rPr>
          <w:rFonts w:hint="eastAsia" w:ascii="宋体" w:hAnsi="宋体" w:cs="宋体"/>
          <w:b w:val="0"/>
          <w:bCs/>
          <w:color w:val="auto"/>
          <w:highlight w:val="none"/>
        </w:rPr>
        <w:t>日</w:t>
      </w:r>
    </w:p>
    <w:p w14:paraId="7F0343FE">
      <w:pPr>
        <w:pStyle w:val="2"/>
        <w:tabs>
          <w:tab w:val="left" w:pos="7430"/>
        </w:tabs>
        <w:autoSpaceDE w:val="0"/>
        <w:autoSpaceDN w:val="0"/>
        <w:spacing w:after="0" w:line="360" w:lineRule="auto"/>
        <w:jc w:val="right"/>
        <w:rPr>
          <w:rFonts w:ascii="宋体" w:hAnsi="宋体" w:cs="宋体"/>
          <w:b w:val="0"/>
          <w:bCs/>
          <w:color w:val="auto"/>
          <w:sz w:val="9"/>
          <w:highlight w:val="none"/>
        </w:rPr>
      </w:pPr>
      <w:r>
        <w:rPr>
          <w:rFonts w:hint="eastAsia" w:ascii="宋体" w:hAnsi="宋体" w:cs="宋体"/>
          <w:b w:val="0"/>
          <w:bCs/>
          <w:color w:val="auto"/>
          <w:highlight w:val="none"/>
        </w:rPr>
        <w:t>卖方</w:t>
      </w:r>
      <w:r>
        <w:rPr>
          <w:rFonts w:hint="eastAsia" w:ascii="宋体" w:hAnsi="宋体" w:cs="宋体"/>
          <w:b w:val="0"/>
          <w:bCs/>
          <w:color w:val="auto"/>
          <w:spacing w:val="-3"/>
          <w:highlight w:val="none"/>
        </w:rPr>
        <w:t>：</w:t>
      </w:r>
      <w:r>
        <w:rPr>
          <w:rFonts w:ascii="宋体" w:hAnsi="宋体" w:cs="宋体"/>
          <w:b w:val="0"/>
          <w:bCs/>
          <w:color w:val="auto"/>
          <w:spacing w:val="-3"/>
          <w:highlight w:val="none"/>
          <w:u w:val="single"/>
        </w:rPr>
        <w:t xml:space="preserve">                             </w:t>
      </w:r>
      <w:r>
        <w:rPr>
          <w:rFonts w:hint="eastAsia" w:ascii="宋体" w:hAnsi="宋体" w:cs="宋体"/>
          <w:b w:val="0"/>
          <w:bCs/>
          <w:color w:val="auto"/>
          <w:highlight w:val="none"/>
        </w:rPr>
        <w:t>（盖</w:t>
      </w:r>
      <w:r>
        <w:rPr>
          <w:rFonts w:hint="eastAsia" w:ascii="宋体" w:hAnsi="宋体" w:cs="宋体"/>
          <w:b w:val="0"/>
          <w:bCs/>
          <w:color w:val="auto"/>
          <w:spacing w:val="-3"/>
          <w:highlight w:val="none"/>
        </w:rPr>
        <w:t>单</w:t>
      </w:r>
      <w:r>
        <w:rPr>
          <w:rFonts w:hint="eastAsia" w:ascii="宋体" w:hAnsi="宋体" w:cs="宋体"/>
          <w:b w:val="0"/>
          <w:bCs/>
          <w:color w:val="auto"/>
          <w:highlight w:val="none"/>
        </w:rPr>
        <w:t>位</w:t>
      </w:r>
      <w:r>
        <w:rPr>
          <w:rFonts w:hint="eastAsia" w:ascii="宋体" w:hAnsi="宋体" w:cs="宋体"/>
          <w:b w:val="0"/>
          <w:bCs/>
          <w:color w:val="auto"/>
          <w:spacing w:val="-3"/>
          <w:highlight w:val="none"/>
        </w:rPr>
        <w:t>章</w:t>
      </w:r>
      <w:r>
        <w:rPr>
          <w:rFonts w:hint="eastAsia" w:ascii="宋体" w:hAnsi="宋体" w:cs="宋体"/>
          <w:b w:val="0"/>
          <w:bCs/>
          <w:color w:val="auto"/>
          <w:highlight w:val="none"/>
        </w:rPr>
        <w:t>）</w:t>
      </w:r>
    </w:p>
    <w:p w14:paraId="7F0343FF">
      <w:pPr>
        <w:pStyle w:val="2"/>
        <w:tabs>
          <w:tab w:val="left" w:pos="7852"/>
        </w:tabs>
        <w:autoSpaceDE w:val="0"/>
        <w:autoSpaceDN w:val="0"/>
        <w:spacing w:after="0" w:line="360" w:lineRule="auto"/>
        <w:jc w:val="right"/>
        <w:rPr>
          <w:rFonts w:ascii="宋体" w:hAnsi="宋体" w:cs="宋体"/>
          <w:b w:val="0"/>
          <w:bCs/>
          <w:color w:val="auto"/>
          <w:sz w:val="19"/>
          <w:highlight w:val="none"/>
        </w:rPr>
      </w:pPr>
      <w:r>
        <w:rPr>
          <w:rFonts w:hint="eastAsia" w:ascii="宋体" w:hAnsi="宋体" w:cs="宋体"/>
          <w:b w:val="0"/>
          <w:bCs/>
          <w:color w:val="auto"/>
          <w:highlight w:val="none"/>
        </w:rPr>
        <w:t>法定</w:t>
      </w:r>
      <w:r>
        <w:rPr>
          <w:rFonts w:hint="eastAsia" w:ascii="宋体" w:hAnsi="宋体" w:cs="宋体"/>
          <w:b w:val="0"/>
          <w:bCs/>
          <w:color w:val="auto"/>
          <w:spacing w:val="-3"/>
          <w:highlight w:val="none"/>
        </w:rPr>
        <w:t>代</w:t>
      </w:r>
      <w:r>
        <w:rPr>
          <w:rFonts w:hint="eastAsia" w:ascii="宋体" w:hAnsi="宋体" w:cs="宋体"/>
          <w:b w:val="0"/>
          <w:bCs/>
          <w:color w:val="auto"/>
          <w:highlight w:val="none"/>
        </w:rPr>
        <w:t>表</w:t>
      </w:r>
      <w:r>
        <w:rPr>
          <w:rFonts w:hint="eastAsia" w:ascii="宋体" w:hAnsi="宋体" w:cs="宋体"/>
          <w:b w:val="0"/>
          <w:bCs/>
          <w:color w:val="auto"/>
          <w:spacing w:val="-3"/>
          <w:highlight w:val="none"/>
        </w:rPr>
        <w:t>人</w:t>
      </w:r>
      <w:r>
        <w:rPr>
          <w:rFonts w:hint="eastAsia" w:ascii="宋体" w:hAnsi="宋体" w:cs="宋体"/>
          <w:b w:val="0"/>
          <w:bCs/>
          <w:color w:val="auto"/>
          <w:highlight w:val="none"/>
        </w:rPr>
        <w:t>（</w:t>
      </w:r>
      <w:r>
        <w:rPr>
          <w:rFonts w:hint="eastAsia" w:ascii="宋体" w:hAnsi="宋体" w:cs="宋体"/>
          <w:b w:val="0"/>
          <w:bCs/>
          <w:color w:val="auto"/>
          <w:spacing w:val="-3"/>
          <w:highlight w:val="none"/>
        </w:rPr>
        <w:t>单</w:t>
      </w:r>
      <w:r>
        <w:rPr>
          <w:rFonts w:hint="eastAsia" w:ascii="宋体" w:hAnsi="宋体" w:cs="宋体"/>
          <w:b w:val="0"/>
          <w:bCs/>
          <w:color w:val="auto"/>
          <w:highlight w:val="none"/>
        </w:rPr>
        <w:t>位</w:t>
      </w:r>
      <w:r>
        <w:rPr>
          <w:rFonts w:hint="eastAsia" w:ascii="宋体" w:hAnsi="宋体" w:cs="宋体"/>
          <w:b w:val="0"/>
          <w:bCs/>
          <w:color w:val="auto"/>
          <w:spacing w:val="-3"/>
          <w:highlight w:val="none"/>
        </w:rPr>
        <w:t>负</w:t>
      </w:r>
      <w:r>
        <w:rPr>
          <w:rFonts w:hint="eastAsia" w:ascii="宋体" w:hAnsi="宋体" w:cs="宋体"/>
          <w:b w:val="0"/>
          <w:bCs/>
          <w:color w:val="auto"/>
          <w:highlight w:val="none"/>
        </w:rPr>
        <w:t>责</w:t>
      </w:r>
      <w:r>
        <w:rPr>
          <w:rFonts w:hint="eastAsia" w:ascii="宋体" w:hAnsi="宋体" w:cs="宋体"/>
          <w:b w:val="0"/>
          <w:bCs/>
          <w:color w:val="auto"/>
          <w:spacing w:val="-3"/>
          <w:highlight w:val="none"/>
        </w:rPr>
        <w:t>人</w:t>
      </w:r>
      <w:r>
        <w:rPr>
          <w:rFonts w:hint="eastAsia" w:ascii="宋体" w:hAnsi="宋体" w:cs="宋体"/>
          <w:b w:val="0"/>
          <w:bCs/>
          <w:color w:val="auto"/>
          <w:highlight w:val="none"/>
        </w:rPr>
        <w:t>）或</w:t>
      </w:r>
      <w:r>
        <w:rPr>
          <w:rFonts w:hint="eastAsia" w:ascii="宋体" w:hAnsi="宋体" w:cs="宋体"/>
          <w:b w:val="0"/>
          <w:bCs/>
          <w:color w:val="auto"/>
          <w:spacing w:val="-3"/>
          <w:highlight w:val="none"/>
        </w:rPr>
        <w:t>其</w:t>
      </w:r>
      <w:r>
        <w:rPr>
          <w:rFonts w:hint="eastAsia" w:ascii="宋体" w:hAnsi="宋体" w:cs="宋体"/>
          <w:b w:val="0"/>
          <w:bCs/>
          <w:color w:val="auto"/>
          <w:highlight w:val="none"/>
        </w:rPr>
        <w:t>委</w:t>
      </w:r>
      <w:r>
        <w:rPr>
          <w:rFonts w:hint="eastAsia" w:ascii="宋体" w:hAnsi="宋体" w:cs="宋体"/>
          <w:b w:val="0"/>
          <w:bCs/>
          <w:color w:val="auto"/>
          <w:spacing w:val="-3"/>
          <w:highlight w:val="none"/>
        </w:rPr>
        <w:t>托</w:t>
      </w:r>
      <w:r>
        <w:rPr>
          <w:rFonts w:hint="eastAsia" w:ascii="宋体" w:hAnsi="宋体" w:cs="宋体"/>
          <w:b w:val="0"/>
          <w:bCs/>
          <w:color w:val="auto"/>
          <w:highlight w:val="none"/>
        </w:rPr>
        <w:t>代</w:t>
      </w:r>
      <w:r>
        <w:rPr>
          <w:rFonts w:hint="eastAsia" w:ascii="宋体" w:hAnsi="宋体" w:cs="宋体"/>
          <w:b w:val="0"/>
          <w:bCs/>
          <w:color w:val="auto"/>
          <w:spacing w:val="-3"/>
          <w:highlight w:val="none"/>
        </w:rPr>
        <w:t>理</w:t>
      </w:r>
      <w:r>
        <w:rPr>
          <w:rFonts w:hint="eastAsia" w:ascii="宋体" w:hAnsi="宋体" w:cs="宋体"/>
          <w:b w:val="0"/>
          <w:bCs/>
          <w:color w:val="auto"/>
          <w:highlight w:val="none"/>
        </w:rPr>
        <w:t>人</w:t>
      </w:r>
      <w:r>
        <w:rPr>
          <w:rFonts w:hint="eastAsia" w:ascii="宋体" w:hAnsi="宋体" w:cs="宋体"/>
          <w:b w:val="0"/>
          <w:bCs/>
          <w:color w:val="auto"/>
          <w:spacing w:val="-3"/>
          <w:highlight w:val="none"/>
        </w:rPr>
        <w:t>：</w:t>
      </w:r>
      <w:r>
        <w:rPr>
          <w:rFonts w:ascii="宋体" w:hAnsi="宋体" w:cs="宋体"/>
          <w:b w:val="0"/>
          <w:bCs/>
          <w:color w:val="auto"/>
          <w:spacing w:val="-3"/>
          <w:highlight w:val="none"/>
          <w:u w:val="single"/>
        </w:rPr>
        <w:t xml:space="preserve">             </w:t>
      </w:r>
      <w:r>
        <w:rPr>
          <w:rFonts w:hint="eastAsia" w:ascii="宋体" w:hAnsi="宋体" w:cs="宋体"/>
          <w:b w:val="0"/>
          <w:bCs/>
          <w:color w:val="auto"/>
          <w:highlight w:val="none"/>
        </w:rPr>
        <w:t>（</w:t>
      </w:r>
      <w:r>
        <w:rPr>
          <w:rFonts w:hint="eastAsia" w:ascii="宋体" w:hAnsi="宋体" w:cs="宋体"/>
          <w:b w:val="0"/>
          <w:bCs/>
          <w:color w:val="auto"/>
          <w:spacing w:val="-3"/>
          <w:highlight w:val="none"/>
        </w:rPr>
        <w:t>签</w:t>
      </w:r>
      <w:r>
        <w:rPr>
          <w:rFonts w:hint="eastAsia" w:ascii="宋体" w:hAnsi="宋体" w:cs="宋体"/>
          <w:b w:val="0"/>
          <w:bCs/>
          <w:color w:val="auto"/>
          <w:highlight w:val="none"/>
        </w:rPr>
        <w:t>字）</w:t>
      </w:r>
    </w:p>
    <w:p w14:paraId="7F034400">
      <w:pPr>
        <w:spacing w:line="360" w:lineRule="auto"/>
        <w:jc w:val="right"/>
        <w:rPr>
          <w:rFonts w:ascii="宋体" w:hAnsi="宋体" w:cs="宋体"/>
          <w:b w:val="0"/>
          <w:bCs/>
          <w:color w:val="auto"/>
          <w:highlight w:val="none"/>
        </w:rPr>
      </w:pPr>
      <w:r>
        <w:rPr>
          <w:rFonts w:ascii="宋体" w:hAnsi="宋体" w:cs="宋体"/>
          <w:b w:val="0"/>
          <w:bCs/>
          <w:color w:val="auto"/>
          <w:highlight w:val="none"/>
          <w:u w:val="single"/>
        </w:rPr>
        <w:t xml:space="preserve"> </w:t>
      </w:r>
      <w:r>
        <w:rPr>
          <w:rFonts w:ascii="宋体" w:hAnsi="宋体" w:cs="宋体"/>
          <w:b w:val="0"/>
          <w:bCs/>
          <w:color w:val="auto"/>
          <w:highlight w:val="none"/>
          <w:u w:val="single"/>
        </w:rPr>
        <w:tab/>
      </w:r>
      <w:r>
        <w:rPr>
          <w:rFonts w:hint="eastAsia" w:ascii="宋体" w:hAnsi="宋体" w:cs="宋体"/>
          <w:b w:val="0"/>
          <w:bCs/>
          <w:color w:val="auto"/>
          <w:highlight w:val="none"/>
        </w:rPr>
        <w:t>年</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r>
        <w:rPr>
          <w:rFonts w:ascii="宋体" w:hAnsi="宋体" w:cs="宋体"/>
          <w:b w:val="0"/>
          <w:bCs/>
          <w:color w:val="auto"/>
          <w:highlight w:val="none"/>
          <w:u w:val="single"/>
        </w:rPr>
        <w:t xml:space="preserve">  </w:t>
      </w:r>
      <w:r>
        <w:rPr>
          <w:rFonts w:hint="eastAsia" w:ascii="宋体" w:hAnsi="宋体" w:cs="宋体"/>
          <w:b w:val="0"/>
          <w:bCs/>
          <w:color w:val="auto"/>
          <w:spacing w:val="-3"/>
          <w:highlight w:val="none"/>
        </w:rPr>
        <w:t>月</w:t>
      </w:r>
      <w:r>
        <w:rPr>
          <w:rFonts w:ascii="宋体" w:hAnsi="宋体" w:cs="宋体"/>
          <w:b w:val="0"/>
          <w:bCs/>
          <w:color w:val="auto"/>
          <w:spacing w:val="-3"/>
          <w:highlight w:val="none"/>
          <w:u w:val="single"/>
        </w:rPr>
        <w:t xml:space="preserve">    </w:t>
      </w:r>
      <w:r>
        <w:rPr>
          <w:rFonts w:hint="eastAsia" w:ascii="宋体" w:hAnsi="宋体" w:cs="宋体"/>
          <w:b w:val="0"/>
          <w:bCs/>
          <w:color w:val="auto"/>
          <w:highlight w:val="none"/>
        </w:rPr>
        <w:t>日</w:t>
      </w:r>
    </w:p>
    <w:p w14:paraId="7F034403">
      <w:pPr>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rPr>
        <w:br w:type="page"/>
      </w:r>
      <w:r>
        <w:rPr>
          <w:rFonts w:hint="eastAsia" w:ascii="宋体" w:hAnsi="宋体" w:cs="宋体"/>
          <w:b w:val="0"/>
          <w:bCs/>
          <w:color w:val="auto"/>
          <w:szCs w:val="21"/>
          <w:highlight w:val="none"/>
        </w:rPr>
        <w:t>附</w:t>
      </w:r>
      <w:bookmarkStart w:id="899" w:name="_Toc296944565"/>
      <w:bookmarkStart w:id="900" w:name="_Toc296503226"/>
      <w:bookmarkStart w:id="901" w:name="_Toc267261693"/>
      <w:bookmarkStart w:id="902" w:name="_Toc296891266"/>
      <w:bookmarkStart w:id="903" w:name="_Toc296891054"/>
      <w:bookmarkStart w:id="904" w:name="_Toc296347225"/>
      <w:bookmarkStart w:id="905" w:name="_Toc296346727"/>
      <w:r>
        <w:rPr>
          <w:rFonts w:hint="eastAsia" w:ascii="宋体" w:hAnsi="宋体" w:cs="宋体"/>
          <w:b w:val="0"/>
          <w:bCs/>
          <w:color w:val="auto"/>
          <w:szCs w:val="21"/>
          <w:highlight w:val="none"/>
        </w:rPr>
        <w:t>件二：</w:t>
      </w:r>
      <w:bookmarkEnd w:id="899"/>
      <w:bookmarkEnd w:id="900"/>
      <w:bookmarkEnd w:id="901"/>
      <w:bookmarkEnd w:id="902"/>
      <w:bookmarkEnd w:id="903"/>
      <w:bookmarkEnd w:id="904"/>
      <w:bookmarkEnd w:id="905"/>
      <w:r>
        <w:rPr>
          <w:rFonts w:hint="eastAsia" w:ascii="宋体" w:hAnsi="宋体" w:cs="宋体"/>
          <w:b w:val="0"/>
          <w:bCs/>
          <w:color w:val="auto"/>
          <w:szCs w:val="21"/>
          <w:highlight w:val="none"/>
        </w:rPr>
        <w:t>履约保证金格式</w:t>
      </w:r>
    </w:p>
    <w:p w14:paraId="7F034404">
      <w:pPr>
        <w:pStyle w:val="2"/>
        <w:tabs>
          <w:tab w:val="left" w:pos="2305"/>
        </w:tabs>
        <w:spacing w:before="43"/>
        <w:rPr>
          <w:rFonts w:ascii="宋体" w:hAnsi="宋体" w:cs="宋体"/>
          <w:b w:val="0"/>
          <w:bCs/>
          <w:color w:val="auto"/>
          <w:highlight w:val="none"/>
        </w:rPr>
      </w:pPr>
    </w:p>
    <w:p w14:paraId="7F034405">
      <w:pPr>
        <w:pStyle w:val="2"/>
        <w:tabs>
          <w:tab w:val="left" w:pos="2305"/>
        </w:tabs>
        <w:spacing w:before="43"/>
        <w:rPr>
          <w:rFonts w:ascii="宋体" w:hAnsi="宋体" w:cs="宋体"/>
          <w:b w:val="0"/>
          <w:bCs/>
          <w:color w:val="auto"/>
          <w:highlight w:val="none"/>
        </w:rPr>
      </w:pPr>
      <w:r>
        <w:rPr>
          <w:rFonts w:hint="eastAsia" w:ascii="宋体" w:hAnsi="宋体" w:cs="宋体"/>
          <w:b w:val="0"/>
          <w:bCs/>
          <w:color w:val="auto"/>
          <w:highlight w:val="none"/>
        </w:rPr>
        <w:t>如采用银行保函，格式如下。</w:t>
      </w:r>
    </w:p>
    <w:p w14:paraId="7F034406">
      <w:pPr>
        <w:pStyle w:val="2"/>
        <w:tabs>
          <w:tab w:val="left" w:pos="2305"/>
        </w:tabs>
        <w:spacing w:before="43"/>
        <w:ind w:left="100"/>
        <w:jc w:val="center"/>
        <w:rPr>
          <w:rFonts w:ascii="宋体" w:hAnsi="宋体" w:cs="宋体"/>
          <w:b w:val="0"/>
          <w:bCs/>
          <w:color w:val="auto"/>
          <w:sz w:val="28"/>
          <w:highlight w:val="none"/>
        </w:rPr>
      </w:pPr>
    </w:p>
    <w:p w14:paraId="7F034407">
      <w:pPr>
        <w:pStyle w:val="2"/>
        <w:tabs>
          <w:tab w:val="left" w:pos="2305"/>
        </w:tabs>
        <w:spacing w:before="43"/>
        <w:ind w:left="100"/>
        <w:jc w:val="center"/>
        <w:rPr>
          <w:rFonts w:ascii="宋体" w:hAnsi="宋体" w:cs="宋体"/>
          <w:b w:val="0"/>
          <w:bCs/>
          <w:color w:val="auto"/>
          <w:highlight w:val="none"/>
        </w:rPr>
      </w:pPr>
      <w:r>
        <w:rPr>
          <w:rFonts w:hint="eastAsia" w:ascii="宋体" w:hAnsi="宋体" w:cs="宋体"/>
          <w:b w:val="0"/>
          <w:bCs/>
          <w:color w:val="auto"/>
          <w:sz w:val="28"/>
          <w:highlight w:val="none"/>
        </w:rPr>
        <w:t>履约保证金</w:t>
      </w:r>
    </w:p>
    <w:p w14:paraId="7F034408">
      <w:pPr>
        <w:pStyle w:val="2"/>
        <w:tabs>
          <w:tab w:val="left" w:pos="2305"/>
        </w:tabs>
        <w:autoSpaceDE w:val="0"/>
        <w:autoSpaceDN w:val="0"/>
        <w:spacing w:line="360" w:lineRule="auto"/>
        <w:rPr>
          <w:rFonts w:hint="eastAsia" w:ascii="宋体" w:hAnsi="宋体" w:cs="宋体"/>
          <w:b w:val="0"/>
          <w:bCs/>
          <w:color w:val="auto"/>
          <w:szCs w:val="21"/>
          <w:highlight w:val="none"/>
          <w:u w:val="single"/>
        </w:rPr>
      </w:pPr>
    </w:p>
    <w:p w14:paraId="7F034409">
      <w:pPr>
        <w:pStyle w:val="2"/>
        <w:tabs>
          <w:tab w:val="left" w:pos="2305"/>
        </w:tabs>
        <w:autoSpaceDE w:val="0"/>
        <w:autoSpaceDN w:val="0"/>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u w:val="single"/>
        </w:rPr>
        <w:tab/>
      </w:r>
      <w:r>
        <w:rPr>
          <w:rFonts w:hint="eastAsia" w:ascii="宋体" w:hAnsi="宋体" w:cs="宋体"/>
          <w:b w:val="0"/>
          <w:bCs/>
          <w:color w:val="auto"/>
          <w:spacing w:val="-3"/>
          <w:szCs w:val="21"/>
          <w:highlight w:val="none"/>
        </w:rPr>
        <w:t>（</w:t>
      </w:r>
      <w:r>
        <w:rPr>
          <w:rFonts w:hint="eastAsia" w:ascii="宋体" w:hAnsi="宋体" w:cs="宋体"/>
          <w:b w:val="0"/>
          <w:bCs/>
          <w:color w:val="auto"/>
          <w:spacing w:val="-1"/>
          <w:szCs w:val="21"/>
          <w:highlight w:val="none"/>
        </w:rPr>
        <w:t>买方名称</w:t>
      </w:r>
      <w:r>
        <w:rPr>
          <w:rFonts w:hint="eastAsia" w:ascii="宋体" w:hAnsi="宋体" w:cs="宋体"/>
          <w:b w:val="0"/>
          <w:bCs/>
          <w:color w:val="auto"/>
          <w:spacing w:val="-3"/>
          <w:szCs w:val="21"/>
          <w:highlight w:val="none"/>
        </w:rPr>
        <w:t>）：</w:t>
      </w:r>
    </w:p>
    <w:p w14:paraId="7F03440A">
      <w:pPr>
        <w:pStyle w:val="2"/>
        <w:tabs>
          <w:tab w:val="left" w:pos="7586"/>
          <w:tab w:val="left" w:pos="8533"/>
        </w:tabs>
        <w:autoSpaceDE w:val="0"/>
        <w:autoSpaceDN w:val="0"/>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rPr>
        <w:t>鉴于（买</w:t>
      </w:r>
      <w:r>
        <w:rPr>
          <w:rFonts w:hint="eastAsia" w:ascii="宋体" w:hAnsi="宋体" w:cs="宋体"/>
          <w:b w:val="0"/>
          <w:bCs/>
          <w:color w:val="auto"/>
          <w:spacing w:val="-3"/>
          <w:szCs w:val="21"/>
          <w:highlight w:val="none"/>
        </w:rPr>
        <w:t>方</w:t>
      </w:r>
      <w:r>
        <w:rPr>
          <w:rFonts w:hint="eastAsia" w:ascii="宋体" w:hAnsi="宋体" w:cs="宋体"/>
          <w:b w:val="0"/>
          <w:bCs/>
          <w:color w:val="auto"/>
          <w:szCs w:val="21"/>
          <w:highlight w:val="none"/>
        </w:rPr>
        <w:t>名</w:t>
      </w:r>
      <w:r>
        <w:rPr>
          <w:rFonts w:hint="eastAsia" w:ascii="宋体" w:hAnsi="宋体" w:cs="宋体"/>
          <w:b w:val="0"/>
          <w:bCs/>
          <w:color w:val="auto"/>
          <w:spacing w:val="-3"/>
          <w:szCs w:val="21"/>
          <w:highlight w:val="none"/>
        </w:rPr>
        <w:t>称，以</w:t>
      </w:r>
      <w:r>
        <w:rPr>
          <w:rFonts w:hint="eastAsia" w:ascii="宋体" w:hAnsi="宋体" w:cs="宋体"/>
          <w:b w:val="0"/>
          <w:bCs/>
          <w:color w:val="auto"/>
          <w:szCs w:val="21"/>
          <w:highlight w:val="none"/>
        </w:rPr>
        <w:t>下</w:t>
      </w:r>
      <w:r>
        <w:rPr>
          <w:rFonts w:hint="eastAsia" w:ascii="宋体" w:hAnsi="宋体" w:cs="宋体"/>
          <w:b w:val="0"/>
          <w:bCs/>
          <w:color w:val="auto"/>
          <w:spacing w:val="-3"/>
          <w:szCs w:val="21"/>
          <w:highlight w:val="none"/>
        </w:rPr>
        <w:t>简称</w:t>
      </w:r>
      <w:r>
        <w:rPr>
          <w:rFonts w:hint="eastAsia" w:ascii="宋体" w:hAnsi="宋体" w:cs="宋体"/>
          <w:b w:val="0"/>
          <w:bCs/>
          <w:iCs/>
          <w:color w:val="auto"/>
          <w:szCs w:val="21"/>
          <w:highlight w:val="none"/>
        </w:rPr>
        <w:t>“</w:t>
      </w:r>
      <w:r>
        <w:rPr>
          <w:rFonts w:hint="eastAsia" w:ascii="宋体" w:hAnsi="宋体" w:cs="宋体"/>
          <w:b w:val="0"/>
          <w:bCs/>
          <w:color w:val="auto"/>
          <w:szCs w:val="21"/>
          <w:highlight w:val="none"/>
        </w:rPr>
        <w:t>买方</w:t>
      </w:r>
      <w:r>
        <w:rPr>
          <w:rFonts w:hint="eastAsia" w:ascii="宋体" w:hAnsi="宋体" w:cs="宋体"/>
          <w:b w:val="0"/>
          <w:bCs/>
          <w:iCs/>
          <w:color w:val="auto"/>
          <w:szCs w:val="21"/>
          <w:highlight w:val="none"/>
        </w:rPr>
        <w:t>”</w:t>
      </w:r>
      <w:r>
        <w:rPr>
          <w:rFonts w:hint="eastAsia" w:ascii="宋体" w:hAnsi="宋体" w:cs="宋体"/>
          <w:b w:val="0"/>
          <w:bCs/>
          <w:color w:val="auto"/>
          <w:szCs w:val="21"/>
          <w:highlight w:val="none"/>
        </w:rPr>
        <w:t>）</w:t>
      </w:r>
      <w:r>
        <w:rPr>
          <w:rFonts w:hint="eastAsia" w:ascii="宋体" w:hAnsi="宋体" w:cs="宋体"/>
          <w:b w:val="0"/>
          <w:bCs/>
          <w:color w:val="auto"/>
          <w:spacing w:val="-3"/>
          <w:szCs w:val="21"/>
          <w:highlight w:val="none"/>
        </w:rPr>
        <w:t>接受（卖</w:t>
      </w:r>
      <w:r>
        <w:rPr>
          <w:rFonts w:hint="eastAsia" w:ascii="宋体" w:hAnsi="宋体" w:cs="宋体"/>
          <w:b w:val="0"/>
          <w:bCs/>
          <w:color w:val="auto"/>
          <w:szCs w:val="21"/>
          <w:highlight w:val="none"/>
        </w:rPr>
        <w:t>方</w:t>
      </w:r>
      <w:r>
        <w:rPr>
          <w:rFonts w:hint="eastAsia" w:ascii="宋体" w:hAnsi="宋体" w:cs="宋体"/>
          <w:b w:val="0"/>
          <w:bCs/>
          <w:color w:val="auto"/>
          <w:spacing w:val="-3"/>
          <w:szCs w:val="21"/>
          <w:highlight w:val="none"/>
        </w:rPr>
        <w:t>名</w:t>
      </w:r>
      <w:r>
        <w:rPr>
          <w:rFonts w:hint="eastAsia" w:ascii="宋体" w:hAnsi="宋体" w:cs="宋体"/>
          <w:b w:val="0"/>
          <w:bCs/>
          <w:color w:val="auto"/>
          <w:szCs w:val="21"/>
          <w:highlight w:val="none"/>
        </w:rPr>
        <w:t>称，以下简</w:t>
      </w:r>
      <w:r>
        <w:rPr>
          <w:rFonts w:hint="eastAsia" w:ascii="宋体" w:hAnsi="宋体" w:cs="宋体"/>
          <w:b w:val="0"/>
          <w:bCs/>
          <w:color w:val="auto"/>
          <w:spacing w:val="-3"/>
          <w:szCs w:val="21"/>
          <w:highlight w:val="none"/>
        </w:rPr>
        <w:t>称“卖</w:t>
      </w:r>
      <w:r>
        <w:rPr>
          <w:rFonts w:hint="eastAsia" w:ascii="宋体" w:hAnsi="宋体" w:cs="宋体"/>
          <w:b w:val="0"/>
          <w:bCs/>
          <w:color w:val="auto"/>
          <w:szCs w:val="21"/>
          <w:highlight w:val="none"/>
        </w:rPr>
        <w:t>方</w:t>
      </w:r>
      <w:r>
        <w:rPr>
          <w:rFonts w:hint="eastAsia" w:ascii="宋体" w:hAnsi="宋体" w:cs="宋体"/>
          <w:b w:val="0"/>
          <w:bCs/>
          <w:color w:val="auto"/>
          <w:spacing w:val="-3"/>
          <w:szCs w:val="21"/>
          <w:highlight w:val="none"/>
        </w:rPr>
        <w:t>”）</w:t>
      </w:r>
      <w:r>
        <w:rPr>
          <w:rFonts w:hint="eastAsia" w:ascii="宋体" w:hAnsi="宋体" w:cs="宋体"/>
          <w:b w:val="0"/>
          <w:bCs/>
          <w:color w:val="auto"/>
          <w:szCs w:val="21"/>
          <w:highlight w:val="none"/>
        </w:rPr>
        <w:t>于</w:t>
      </w:r>
      <w:r>
        <w:rPr>
          <w:rFonts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年</w:t>
      </w:r>
      <w:r>
        <w:rPr>
          <w:rFonts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月</w:t>
      </w:r>
      <w:r>
        <w:rPr>
          <w:rFonts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日参加</w:t>
      </w:r>
      <w:r>
        <w:rPr>
          <w:rFonts w:hint="eastAsia" w:ascii="宋体" w:hAnsi="宋体" w:cs="宋体"/>
          <w:b w:val="0"/>
          <w:bCs/>
          <w:color w:val="auto"/>
          <w:szCs w:val="21"/>
          <w:highlight w:val="none"/>
          <w:u w:val="single"/>
        </w:rPr>
        <w:t xml:space="preserve">             （项目名称）</w:t>
      </w:r>
      <w:r>
        <w:rPr>
          <w:rFonts w:hint="eastAsia" w:ascii="宋体" w:hAnsi="宋体" w:cs="宋体"/>
          <w:b w:val="0"/>
          <w:bCs/>
          <w:color w:val="auto"/>
          <w:szCs w:val="21"/>
          <w:highlight w:val="none"/>
        </w:rPr>
        <w:t>设备采购招标项目的投标。我方愿意无条件地、不可撤销地就卖方履行与你方订立的合同，向你方提供担保。</w:t>
      </w:r>
    </w:p>
    <w:p w14:paraId="7F03440B">
      <w:pPr>
        <w:pStyle w:val="334"/>
        <w:tabs>
          <w:tab w:val="left" w:pos="785"/>
          <w:tab w:val="left" w:pos="4564"/>
          <w:tab w:val="left" w:pos="6559"/>
        </w:tabs>
        <w:autoSpaceDE w:val="0"/>
        <w:autoSpaceDN w:val="0"/>
        <w:spacing w:line="360" w:lineRule="auto"/>
        <w:ind w:left="0" w:firstLine="408" w:firstLineChars="200"/>
        <w:jc w:val="left"/>
        <w:rPr>
          <w:rFonts w:hint="eastAsia"/>
          <w:b w:val="0"/>
          <w:bCs/>
          <w:color w:val="auto"/>
          <w:szCs w:val="21"/>
          <w:highlight w:val="none"/>
        </w:rPr>
      </w:pPr>
      <w:r>
        <w:rPr>
          <w:rFonts w:hint="eastAsia"/>
          <w:b w:val="0"/>
          <w:bCs/>
          <w:color w:val="auto"/>
          <w:spacing w:val="-3"/>
          <w:szCs w:val="21"/>
          <w:highlight w:val="none"/>
        </w:rPr>
        <w:t>1.担</w:t>
      </w:r>
      <w:r>
        <w:rPr>
          <w:rFonts w:hint="eastAsia"/>
          <w:b w:val="0"/>
          <w:bCs/>
          <w:color w:val="auto"/>
          <w:szCs w:val="21"/>
          <w:highlight w:val="none"/>
        </w:rPr>
        <w:t>保</w:t>
      </w:r>
      <w:r>
        <w:rPr>
          <w:rFonts w:hint="eastAsia"/>
          <w:b w:val="0"/>
          <w:bCs/>
          <w:color w:val="auto"/>
          <w:spacing w:val="-3"/>
          <w:szCs w:val="21"/>
          <w:highlight w:val="none"/>
        </w:rPr>
        <w:t>金</w:t>
      </w:r>
      <w:r>
        <w:rPr>
          <w:rFonts w:hint="eastAsia"/>
          <w:b w:val="0"/>
          <w:bCs/>
          <w:color w:val="auto"/>
          <w:szCs w:val="21"/>
          <w:highlight w:val="none"/>
        </w:rPr>
        <w:t>额</w:t>
      </w:r>
      <w:r>
        <w:rPr>
          <w:rFonts w:hint="eastAsia"/>
          <w:b w:val="0"/>
          <w:bCs/>
          <w:color w:val="auto"/>
          <w:spacing w:val="-3"/>
          <w:szCs w:val="21"/>
          <w:highlight w:val="none"/>
        </w:rPr>
        <w:t>人</w:t>
      </w:r>
      <w:r>
        <w:rPr>
          <w:rFonts w:hint="eastAsia"/>
          <w:b w:val="0"/>
          <w:bCs/>
          <w:color w:val="auto"/>
          <w:szCs w:val="21"/>
          <w:highlight w:val="none"/>
        </w:rPr>
        <w:t>民</w:t>
      </w:r>
      <w:r>
        <w:rPr>
          <w:rFonts w:hint="eastAsia"/>
          <w:b w:val="0"/>
          <w:bCs/>
          <w:color w:val="auto"/>
          <w:spacing w:val="-3"/>
          <w:szCs w:val="21"/>
          <w:highlight w:val="none"/>
        </w:rPr>
        <w:t>币</w:t>
      </w:r>
      <w:r>
        <w:rPr>
          <w:rFonts w:hint="eastAsia"/>
          <w:b w:val="0"/>
          <w:bCs/>
          <w:color w:val="auto"/>
          <w:szCs w:val="21"/>
          <w:highlight w:val="none"/>
        </w:rPr>
        <w:t>（</w:t>
      </w:r>
      <w:r>
        <w:rPr>
          <w:rFonts w:hint="eastAsia"/>
          <w:b w:val="0"/>
          <w:bCs/>
          <w:color w:val="auto"/>
          <w:spacing w:val="-3"/>
          <w:szCs w:val="21"/>
          <w:highlight w:val="none"/>
        </w:rPr>
        <w:t>大写</w:t>
      </w:r>
      <w:r>
        <w:rPr>
          <w:rFonts w:hint="eastAsia"/>
          <w:b w:val="0"/>
          <w:bCs/>
          <w:color w:val="auto"/>
          <w:szCs w:val="21"/>
          <w:highlight w:val="none"/>
        </w:rPr>
        <w:t>）</w:t>
      </w:r>
      <w:r>
        <w:rPr>
          <w:rFonts w:hint="eastAsia"/>
          <w:b w:val="0"/>
          <w:bCs/>
          <w:color w:val="auto"/>
          <w:szCs w:val="21"/>
          <w:highlight w:val="none"/>
          <w:u w:val="single"/>
        </w:rPr>
        <w:t xml:space="preserve"> </w:t>
      </w:r>
      <w:r>
        <w:rPr>
          <w:rFonts w:hint="eastAsia"/>
          <w:b w:val="0"/>
          <w:bCs/>
          <w:color w:val="auto"/>
          <w:szCs w:val="21"/>
          <w:highlight w:val="none"/>
          <w:u w:val="single"/>
        </w:rPr>
        <w:tab/>
      </w:r>
      <w:r>
        <w:rPr>
          <w:rFonts w:hint="eastAsia"/>
          <w:b w:val="0"/>
          <w:bCs/>
          <w:color w:val="auto"/>
          <w:szCs w:val="21"/>
          <w:highlight w:val="none"/>
        </w:rPr>
        <w:t>（¥）</w:t>
      </w:r>
      <w:r>
        <w:rPr>
          <w:rFonts w:hint="eastAsia"/>
          <w:b w:val="0"/>
          <w:bCs/>
          <w:color w:val="auto"/>
          <w:szCs w:val="21"/>
          <w:highlight w:val="none"/>
          <w:u w:val="single"/>
        </w:rPr>
        <w:t xml:space="preserve"> </w:t>
      </w:r>
      <w:r>
        <w:rPr>
          <w:rFonts w:hint="eastAsia"/>
          <w:b w:val="0"/>
          <w:bCs/>
          <w:color w:val="auto"/>
          <w:szCs w:val="21"/>
          <w:highlight w:val="none"/>
          <w:u w:val="single"/>
        </w:rPr>
        <w:tab/>
      </w:r>
      <w:r>
        <w:rPr>
          <w:rFonts w:hint="eastAsia"/>
          <w:b w:val="0"/>
          <w:bCs/>
          <w:color w:val="auto"/>
          <w:szCs w:val="21"/>
          <w:highlight w:val="none"/>
        </w:rPr>
        <w:t>。</w:t>
      </w:r>
    </w:p>
    <w:p w14:paraId="7F03440C">
      <w:pPr>
        <w:pStyle w:val="334"/>
        <w:tabs>
          <w:tab w:val="left" w:pos="790"/>
        </w:tabs>
        <w:autoSpaceDE w:val="0"/>
        <w:autoSpaceDN w:val="0"/>
        <w:spacing w:line="360" w:lineRule="auto"/>
        <w:ind w:left="0" w:firstLineChars="200"/>
        <w:jc w:val="left"/>
        <w:rPr>
          <w:rFonts w:hint="eastAsia"/>
          <w:b w:val="0"/>
          <w:bCs/>
          <w:color w:val="auto"/>
          <w:szCs w:val="21"/>
          <w:highlight w:val="none"/>
        </w:rPr>
      </w:pPr>
      <w:r>
        <w:rPr>
          <w:rFonts w:hint="eastAsia"/>
          <w:b w:val="0"/>
          <w:bCs/>
          <w:color w:val="auto"/>
          <w:szCs w:val="21"/>
          <w:highlight w:val="none"/>
        </w:rPr>
        <w:t>2.担保有效期自买方与卖方签订的合同生效之日起至合同设备验收证书或验收款支付函签署之日起28日后失效。</w:t>
      </w:r>
    </w:p>
    <w:p w14:paraId="7F03440D">
      <w:pPr>
        <w:pStyle w:val="334"/>
        <w:tabs>
          <w:tab w:val="left" w:pos="785"/>
        </w:tabs>
        <w:autoSpaceDE w:val="0"/>
        <w:autoSpaceDN w:val="0"/>
        <w:spacing w:line="360" w:lineRule="auto"/>
        <w:ind w:left="0" w:firstLineChars="200"/>
        <w:jc w:val="left"/>
        <w:rPr>
          <w:rFonts w:hint="eastAsia"/>
          <w:b w:val="0"/>
          <w:bCs/>
          <w:color w:val="auto"/>
          <w:szCs w:val="21"/>
          <w:highlight w:val="none"/>
        </w:rPr>
      </w:pPr>
      <w:r>
        <w:rPr>
          <w:rFonts w:hint="eastAsia"/>
          <w:b w:val="0"/>
          <w:bCs/>
          <w:color w:val="auto"/>
          <w:szCs w:val="21"/>
          <w:highlight w:val="none"/>
        </w:rPr>
        <w:t>3.在本担保有效期内，如果卖方不履行合同约定的义务或其履行不符合合同的约定，我方在收到你方以书面形式提出的在担保金额内的赔偿要求后，在7日内无条件支付。</w:t>
      </w:r>
    </w:p>
    <w:p w14:paraId="7F03440E">
      <w:pPr>
        <w:pStyle w:val="334"/>
        <w:tabs>
          <w:tab w:val="left" w:pos="785"/>
        </w:tabs>
        <w:autoSpaceDE w:val="0"/>
        <w:autoSpaceDN w:val="0"/>
        <w:spacing w:line="360" w:lineRule="auto"/>
        <w:ind w:left="0" w:firstLineChars="200"/>
        <w:jc w:val="left"/>
        <w:rPr>
          <w:rFonts w:hint="eastAsia"/>
          <w:b w:val="0"/>
          <w:bCs/>
          <w:color w:val="auto"/>
          <w:szCs w:val="21"/>
          <w:highlight w:val="none"/>
        </w:rPr>
      </w:pPr>
      <w:r>
        <w:rPr>
          <w:rFonts w:hint="eastAsia"/>
          <w:b w:val="0"/>
          <w:bCs/>
          <w:color w:val="auto"/>
          <w:szCs w:val="21"/>
          <w:highlight w:val="none"/>
        </w:rPr>
        <w:t>4.买方和卖方变更合同时，无论我方是否收到该变更，我方承担本担保规定的义务不变。</w:t>
      </w:r>
    </w:p>
    <w:p w14:paraId="7F03440F">
      <w:pPr>
        <w:pStyle w:val="2"/>
        <w:rPr>
          <w:rFonts w:ascii="宋体" w:hAnsi="宋体" w:cs="宋体"/>
          <w:b w:val="0"/>
          <w:bCs/>
          <w:color w:val="auto"/>
          <w:sz w:val="22"/>
          <w:highlight w:val="none"/>
        </w:rPr>
      </w:pPr>
    </w:p>
    <w:p w14:paraId="7F034410">
      <w:pPr>
        <w:pStyle w:val="2"/>
        <w:spacing w:before="10"/>
        <w:rPr>
          <w:rFonts w:ascii="宋体" w:hAnsi="宋体" w:cs="宋体"/>
          <w:b w:val="0"/>
          <w:bCs/>
          <w:color w:val="auto"/>
          <w:sz w:val="32"/>
          <w:highlight w:val="none"/>
        </w:rPr>
      </w:pPr>
    </w:p>
    <w:p w14:paraId="7F034411">
      <w:pPr>
        <w:pStyle w:val="2"/>
        <w:tabs>
          <w:tab w:val="left" w:pos="7589"/>
        </w:tabs>
        <w:autoSpaceDE w:val="0"/>
        <w:autoSpaceDN w:val="0"/>
        <w:spacing w:line="360" w:lineRule="auto"/>
        <w:jc w:val="right"/>
        <w:rPr>
          <w:rFonts w:ascii="宋体" w:hAnsi="宋体" w:cs="宋体"/>
          <w:b w:val="0"/>
          <w:bCs/>
          <w:color w:val="auto"/>
          <w:sz w:val="22"/>
          <w:highlight w:val="none"/>
        </w:rPr>
      </w:pPr>
      <w:r>
        <w:rPr>
          <w:rFonts w:hint="eastAsia" w:ascii="宋体" w:hAnsi="宋体" w:cs="宋体"/>
          <w:b w:val="0"/>
          <w:bCs/>
          <w:color w:val="auto"/>
          <w:highlight w:val="none"/>
        </w:rPr>
        <w:t>担保</w:t>
      </w:r>
      <w:r>
        <w:rPr>
          <w:rFonts w:hint="eastAsia" w:ascii="宋体" w:hAnsi="宋体" w:cs="宋体"/>
          <w:b w:val="0"/>
          <w:bCs/>
          <w:color w:val="auto"/>
          <w:spacing w:val="-3"/>
          <w:highlight w:val="none"/>
        </w:rPr>
        <w:t>人</w:t>
      </w:r>
      <w:r>
        <w:rPr>
          <w:rFonts w:hint="eastAsia" w:ascii="宋体" w:hAnsi="宋体" w:cs="宋体"/>
          <w:b w:val="0"/>
          <w:bCs/>
          <w:color w:val="auto"/>
          <w:highlight w:val="none"/>
        </w:rPr>
        <w:t>名称</w:t>
      </w:r>
      <w:r>
        <w:rPr>
          <w:rFonts w:ascii="宋体" w:hAnsi="宋体" w:cs="宋体"/>
          <w:b w:val="0"/>
          <w:bCs/>
          <w:color w:val="auto"/>
          <w:highlight w:val="none"/>
        </w:rPr>
        <w:t xml:space="preserve"> </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hint="eastAsia" w:ascii="宋体" w:hAnsi="宋体" w:cs="宋体"/>
          <w:b w:val="0"/>
          <w:bCs/>
          <w:color w:val="auto"/>
          <w:highlight w:val="none"/>
        </w:rPr>
        <w:t>（</w:t>
      </w:r>
      <w:r>
        <w:rPr>
          <w:rFonts w:hint="eastAsia" w:ascii="宋体" w:hAnsi="宋体" w:cs="宋体"/>
          <w:b w:val="0"/>
          <w:bCs/>
          <w:color w:val="auto"/>
          <w:spacing w:val="-3"/>
          <w:highlight w:val="none"/>
        </w:rPr>
        <w:t>盖</w:t>
      </w:r>
      <w:r>
        <w:rPr>
          <w:rFonts w:hint="eastAsia" w:ascii="宋体" w:hAnsi="宋体" w:cs="宋体"/>
          <w:b w:val="0"/>
          <w:bCs/>
          <w:color w:val="auto"/>
          <w:highlight w:val="none"/>
        </w:rPr>
        <w:t>单</w:t>
      </w:r>
      <w:r>
        <w:rPr>
          <w:rFonts w:hint="eastAsia" w:ascii="宋体" w:hAnsi="宋体" w:cs="宋体"/>
          <w:b w:val="0"/>
          <w:bCs/>
          <w:color w:val="auto"/>
          <w:spacing w:val="-3"/>
          <w:highlight w:val="none"/>
        </w:rPr>
        <w:t>位章</w:t>
      </w:r>
      <w:r>
        <w:rPr>
          <w:rFonts w:hint="eastAsia" w:ascii="宋体" w:hAnsi="宋体" w:cs="宋体"/>
          <w:b w:val="0"/>
          <w:bCs/>
          <w:color w:val="auto"/>
          <w:highlight w:val="none"/>
        </w:rPr>
        <w:t>）</w:t>
      </w:r>
    </w:p>
    <w:p w14:paraId="7F034412">
      <w:pPr>
        <w:pStyle w:val="2"/>
        <w:tabs>
          <w:tab w:val="left" w:pos="7906"/>
        </w:tabs>
        <w:autoSpaceDE w:val="0"/>
        <w:autoSpaceDN w:val="0"/>
        <w:spacing w:line="360" w:lineRule="auto"/>
        <w:jc w:val="right"/>
        <w:rPr>
          <w:rFonts w:ascii="宋体" w:hAnsi="宋体" w:cs="宋体"/>
          <w:b w:val="0"/>
          <w:bCs/>
          <w:color w:val="auto"/>
          <w:highlight w:val="none"/>
        </w:rPr>
      </w:pPr>
      <w:r>
        <w:rPr>
          <w:rFonts w:hint="eastAsia" w:ascii="宋体" w:hAnsi="宋体" w:cs="宋体"/>
          <w:b w:val="0"/>
          <w:bCs/>
          <w:color w:val="auto"/>
          <w:highlight w:val="none"/>
        </w:rPr>
        <w:t>法定</w:t>
      </w:r>
      <w:r>
        <w:rPr>
          <w:rFonts w:hint="eastAsia" w:ascii="宋体" w:hAnsi="宋体" w:cs="宋体"/>
          <w:b w:val="0"/>
          <w:bCs/>
          <w:color w:val="auto"/>
          <w:spacing w:val="-3"/>
          <w:highlight w:val="none"/>
        </w:rPr>
        <w:t>代</w:t>
      </w:r>
      <w:r>
        <w:rPr>
          <w:rFonts w:hint="eastAsia" w:ascii="宋体" w:hAnsi="宋体" w:cs="宋体"/>
          <w:b w:val="0"/>
          <w:bCs/>
          <w:color w:val="auto"/>
          <w:highlight w:val="none"/>
        </w:rPr>
        <w:t>表</w:t>
      </w:r>
      <w:r>
        <w:rPr>
          <w:rFonts w:hint="eastAsia" w:ascii="宋体" w:hAnsi="宋体" w:cs="宋体"/>
          <w:b w:val="0"/>
          <w:bCs/>
          <w:color w:val="auto"/>
          <w:spacing w:val="-48"/>
          <w:highlight w:val="none"/>
        </w:rPr>
        <w:t>人</w:t>
      </w:r>
      <w:r>
        <w:rPr>
          <w:rFonts w:hint="eastAsia" w:ascii="宋体" w:hAnsi="宋体" w:cs="宋体"/>
          <w:b w:val="0"/>
          <w:bCs/>
          <w:color w:val="auto"/>
          <w:highlight w:val="none"/>
        </w:rPr>
        <w:t>（</w:t>
      </w:r>
      <w:r>
        <w:rPr>
          <w:rFonts w:hint="eastAsia" w:ascii="宋体" w:hAnsi="宋体" w:cs="宋体"/>
          <w:b w:val="0"/>
          <w:bCs/>
          <w:color w:val="auto"/>
          <w:spacing w:val="-3"/>
          <w:highlight w:val="none"/>
        </w:rPr>
        <w:t>单</w:t>
      </w:r>
      <w:r>
        <w:rPr>
          <w:rFonts w:hint="eastAsia" w:ascii="宋体" w:hAnsi="宋体" w:cs="宋体"/>
          <w:b w:val="0"/>
          <w:bCs/>
          <w:color w:val="auto"/>
          <w:highlight w:val="none"/>
        </w:rPr>
        <w:t>位</w:t>
      </w:r>
      <w:r>
        <w:rPr>
          <w:rFonts w:hint="eastAsia" w:ascii="宋体" w:hAnsi="宋体" w:cs="宋体"/>
          <w:b w:val="0"/>
          <w:bCs/>
          <w:color w:val="auto"/>
          <w:spacing w:val="-3"/>
          <w:highlight w:val="none"/>
        </w:rPr>
        <w:t>负</w:t>
      </w:r>
      <w:r>
        <w:rPr>
          <w:rFonts w:hint="eastAsia" w:ascii="宋体" w:hAnsi="宋体" w:cs="宋体"/>
          <w:b w:val="0"/>
          <w:bCs/>
          <w:color w:val="auto"/>
          <w:highlight w:val="none"/>
        </w:rPr>
        <w:t>责人</w:t>
      </w:r>
      <w:r>
        <w:rPr>
          <w:rFonts w:hint="eastAsia" w:ascii="宋体" w:hAnsi="宋体" w:cs="宋体"/>
          <w:b w:val="0"/>
          <w:bCs/>
          <w:color w:val="auto"/>
          <w:spacing w:val="-48"/>
          <w:highlight w:val="none"/>
        </w:rPr>
        <w:t>）</w:t>
      </w:r>
      <w:r>
        <w:rPr>
          <w:rFonts w:hint="eastAsia" w:ascii="宋体" w:hAnsi="宋体" w:cs="宋体"/>
          <w:b w:val="0"/>
          <w:bCs/>
          <w:color w:val="auto"/>
          <w:highlight w:val="none"/>
        </w:rPr>
        <w:t>或其</w:t>
      </w:r>
      <w:r>
        <w:rPr>
          <w:rFonts w:hint="eastAsia" w:ascii="宋体" w:hAnsi="宋体" w:cs="宋体"/>
          <w:b w:val="0"/>
          <w:bCs/>
          <w:color w:val="auto"/>
          <w:spacing w:val="-3"/>
          <w:highlight w:val="none"/>
        </w:rPr>
        <w:t>委</w:t>
      </w:r>
      <w:r>
        <w:rPr>
          <w:rFonts w:hint="eastAsia" w:ascii="宋体" w:hAnsi="宋体" w:cs="宋体"/>
          <w:b w:val="0"/>
          <w:bCs/>
          <w:color w:val="auto"/>
          <w:highlight w:val="none"/>
        </w:rPr>
        <w:t>托</w:t>
      </w:r>
      <w:r>
        <w:rPr>
          <w:rFonts w:hint="eastAsia" w:ascii="宋体" w:hAnsi="宋体" w:cs="宋体"/>
          <w:b w:val="0"/>
          <w:bCs/>
          <w:color w:val="auto"/>
          <w:spacing w:val="-3"/>
          <w:highlight w:val="none"/>
        </w:rPr>
        <w:t>代</w:t>
      </w:r>
      <w:r>
        <w:rPr>
          <w:rFonts w:hint="eastAsia" w:ascii="宋体" w:hAnsi="宋体" w:cs="宋体"/>
          <w:b w:val="0"/>
          <w:bCs/>
          <w:color w:val="auto"/>
          <w:highlight w:val="none"/>
        </w:rPr>
        <w:t>理</w:t>
      </w:r>
      <w:r>
        <w:rPr>
          <w:rFonts w:hint="eastAsia" w:ascii="宋体" w:hAnsi="宋体" w:cs="宋体"/>
          <w:b w:val="0"/>
          <w:bCs/>
          <w:color w:val="auto"/>
          <w:spacing w:val="-3"/>
          <w:highlight w:val="none"/>
        </w:rPr>
        <w:t>人</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hint="eastAsia" w:ascii="宋体" w:hAnsi="宋体" w:cs="宋体"/>
          <w:b w:val="0"/>
          <w:bCs/>
          <w:color w:val="auto"/>
          <w:spacing w:val="-3"/>
          <w:highlight w:val="none"/>
        </w:rPr>
        <w:t>（签字）</w:t>
      </w:r>
    </w:p>
    <w:p w14:paraId="7F034413">
      <w:pPr>
        <w:pStyle w:val="2"/>
        <w:tabs>
          <w:tab w:val="left" w:pos="3043"/>
          <w:tab w:val="left" w:pos="8760"/>
        </w:tabs>
        <w:autoSpaceDE w:val="0"/>
        <w:autoSpaceDN w:val="0"/>
        <w:spacing w:line="360" w:lineRule="auto"/>
        <w:ind w:firstLine="4830" w:firstLineChars="2300"/>
        <w:rPr>
          <w:rFonts w:ascii="宋体" w:hAnsi="宋体" w:cs="宋体"/>
          <w:b w:val="0"/>
          <w:bCs/>
          <w:color w:val="auto"/>
          <w:sz w:val="24"/>
          <w:highlight w:val="none"/>
        </w:rPr>
      </w:pPr>
      <w:r>
        <w:rPr>
          <w:rFonts w:hint="eastAsia" w:ascii="宋体" w:hAnsi="宋体" w:cs="宋体"/>
          <w:b w:val="0"/>
          <w:bCs/>
          <w:color w:val="auto"/>
          <w:highlight w:val="none"/>
        </w:rPr>
        <w:t>地址</w:t>
      </w:r>
      <w:r>
        <w:rPr>
          <w:rFonts w:hint="eastAsia" w:ascii="宋体" w:hAnsi="宋体" w:cs="宋体"/>
          <w:b w:val="0"/>
          <w:bCs/>
          <w:color w:val="auto"/>
          <w:spacing w:val="-3"/>
          <w:highlight w:val="none"/>
        </w:rPr>
        <w:t>：</w:t>
      </w:r>
      <w:r>
        <w:rPr>
          <w:rFonts w:ascii="宋体" w:hAnsi="宋体" w:cs="宋体"/>
          <w:b w:val="0"/>
          <w:bCs/>
          <w:color w:val="auto"/>
          <w:highlight w:val="none"/>
          <w:u w:val="single"/>
        </w:rPr>
        <w:t xml:space="preserve">                                     </w:t>
      </w:r>
    </w:p>
    <w:p w14:paraId="7F034414">
      <w:pPr>
        <w:pStyle w:val="2"/>
        <w:tabs>
          <w:tab w:val="left" w:pos="8760"/>
        </w:tabs>
        <w:autoSpaceDE w:val="0"/>
        <w:autoSpaceDN w:val="0"/>
        <w:spacing w:line="360" w:lineRule="auto"/>
        <w:ind w:firstLine="4410" w:firstLineChars="2100"/>
        <w:rPr>
          <w:rFonts w:ascii="宋体" w:hAnsi="宋体" w:cs="宋体"/>
          <w:b w:val="0"/>
          <w:bCs/>
          <w:color w:val="auto"/>
          <w:sz w:val="24"/>
          <w:highlight w:val="none"/>
        </w:rPr>
      </w:pPr>
      <w:r>
        <w:rPr>
          <w:rFonts w:hint="eastAsia" w:ascii="宋体" w:hAnsi="宋体" w:cs="宋体"/>
          <w:b w:val="0"/>
          <w:bCs/>
          <w:color w:val="auto"/>
          <w:highlight w:val="none"/>
        </w:rPr>
        <w:t>邮政</w:t>
      </w:r>
      <w:r>
        <w:rPr>
          <w:rFonts w:hint="eastAsia" w:ascii="宋体" w:hAnsi="宋体" w:cs="宋体"/>
          <w:b w:val="0"/>
          <w:bCs/>
          <w:color w:val="auto"/>
          <w:spacing w:val="-3"/>
          <w:highlight w:val="none"/>
        </w:rPr>
        <w:t>编</w:t>
      </w:r>
      <w:r>
        <w:rPr>
          <w:rFonts w:hint="eastAsia" w:ascii="宋体" w:hAnsi="宋体" w:cs="宋体"/>
          <w:b w:val="0"/>
          <w:bCs/>
          <w:color w:val="auto"/>
          <w:highlight w:val="none"/>
        </w:rPr>
        <w:t>码</w:t>
      </w:r>
      <w:r>
        <w:rPr>
          <w:rFonts w:hint="eastAsia" w:ascii="宋体" w:hAnsi="宋体" w:cs="宋体"/>
          <w:b w:val="0"/>
          <w:bCs/>
          <w:color w:val="auto"/>
          <w:spacing w:val="-3"/>
          <w:highlight w:val="none"/>
        </w:rPr>
        <w:t>：</w:t>
      </w:r>
      <w:r>
        <w:rPr>
          <w:rFonts w:ascii="宋体" w:hAnsi="宋体" w:cs="宋体"/>
          <w:b w:val="0"/>
          <w:bCs/>
          <w:color w:val="auto"/>
          <w:highlight w:val="none"/>
          <w:u w:val="single"/>
        </w:rPr>
        <w:t xml:space="preserve">                                      </w:t>
      </w:r>
    </w:p>
    <w:p w14:paraId="7F034415">
      <w:pPr>
        <w:pStyle w:val="2"/>
        <w:tabs>
          <w:tab w:val="left" w:pos="3043"/>
          <w:tab w:val="left" w:pos="8760"/>
        </w:tabs>
        <w:autoSpaceDE w:val="0"/>
        <w:autoSpaceDN w:val="0"/>
        <w:spacing w:line="360" w:lineRule="auto"/>
        <w:ind w:firstLine="4830" w:firstLineChars="2300"/>
        <w:rPr>
          <w:rFonts w:ascii="宋体" w:hAnsi="宋体" w:cs="宋体"/>
          <w:b w:val="0"/>
          <w:bCs/>
          <w:color w:val="auto"/>
          <w:sz w:val="25"/>
          <w:highlight w:val="none"/>
        </w:rPr>
      </w:pPr>
      <w:r>
        <w:rPr>
          <w:rFonts w:hint="eastAsia" w:ascii="宋体" w:hAnsi="宋体" w:cs="宋体"/>
          <w:b w:val="0"/>
          <w:bCs/>
          <w:color w:val="auto"/>
          <w:highlight w:val="none"/>
        </w:rPr>
        <w:t>电话</w:t>
      </w:r>
      <w:r>
        <w:rPr>
          <w:rFonts w:hint="eastAsia" w:ascii="宋体" w:hAnsi="宋体" w:cs="宋体"/>
          <w:b w:val="0"/>
          <w:bCs/>
          <w:color w:val="auto"/>
          <w:spacing w:val="-3"/>
          <w:highlight w:val="none"/>
        </w:rPr>
        <w:t>：</w:t>
      </w:r>
      <w:r>
        <w:rPr>
          <w:rFonts w:ascii="宋体" w:hAnsi="宋体" w:cs="宋体"/>
          <w:b w:val="0"/>
          <w:bCs/>
          <w:color w:val="auto"/>
          <w:highlight w:val="none"/>
          <w:u w:val="single"/>
        </w:rPr>
        <w:t xml:space="preserve">                                      </w:t>
      </w:r>
    </w:p>
    <w:p w14:paraId="7F034416">
      <w:pPr>
        <w:widowControl/>
        <w:spacing w:line="360" w:lineRule="auto"/>
        <w:ind w:firstLine="6510" w:firstLineChars="3100"/>
        <w:jc w:val="left"/>
        <w:rPr>
          <w:rFonts w:hint="eastAsia" w:ascii="宋体" w:hAnsi="宋体" w:cs="宋体"/>
          <w:b w:val="0"/>
          <w:bCs/>
          <w:color w:val="auto"/>
          <w:szCs w:val="21"/>
          <w:highlight w:val="none"/>
          <w:u w:val="single"/>
        </w:rPr>
      </w:pPr>
      <w:r>
        <w:rPr>
          <w:rFonts w:ascii="宋体" w:hAnsi="宋体" w:cs="宋体"/>
          <w:b w:val="0"/>
          <w:bCs/>
          <w:color w:val="auto"/>
          <w:highlight w:val="none"/>
          <w:u w:val="single"/>
        </w:rPr>
        <w:t xml:space="preserve">        </w:t>
      </w:r>
      <w:r>
        <w:rPr>
          <w:rFonts w:hint="eastAsia" w:ascii="宋体" w:hAnsi="宋体" w:cs="宋体"/>
          <w:b w:val="0"/>
          <w:bCs/>
          <w:color w:val="auto"/>
          <w:highlight w:val="none"/>
        </w:rPr>
        <w:t>年</w:t>
      </w:r>
      <w:r>
        <w:rPr>
          <w:rFonts w:ascii="宋体" w:hAnsi="宋体" w:cs="宋体"/>
          <w:b w:val="0"/>
          <w:bCs/>
          <w:color w:val="auto"/>
          <w:highlight w:val="none"/>
          <w:u w:val="single"/>
        </w:rPr>
        <w:t xml:space="preserve">       </w:t>
      </w:r>
      <w:r>
        <w:rPr>
          <w:rFonts w:hint="eastAsia" w:ascii="宋体" w:hAnsi="宋体" w:cs="宋体"/>
          <w:b w:val="0"/>
          <w:bCs/>
          <w:color w:val="auto"/>
          <w:spacing w:val="-3"/>
          <w:highlight w:val="none"/>
        </w:rPr>
        <w:t>月</w:t>
      </w:r>
      <w:r>
        <w:rPr>
          <w:rFonts w:ascii="宋体" w:hAnsi="宋体" w:cs="宋体"/>
          <w:b w:val="0"/>
          <w:bCs/>
          <w:color w:val="auto"/>
          <w:spacing w:val="-3"/>
          <w:highlight w:val="none"/>
          <w:u w:val="single"/>
        </w:rPr>
        <w:t xml:space="preserve">       </w:t>
      </w:r>
      <w:r>
        <w:rPr>
          <w:rFonts w:hint="eastAsia" w:ascii="宋体" w:hAnsi="宋体" w:cs="宋体"/>
          <w:b w:val="0"/>
          <w:bCs/>
          <w:color w:val="auto"/>
          <w:highlight w:val="none"/>
        </w:rPr>
        <w:t>日</w:t>
      </w:r>
      <w:bookmarkStart w:id="906" w:name="_Toc2859385"/>
      <w:r>
        <w:rPr>
          <w:rFonts w:hint="eastAsia" w:ascii="宋体" w:hAnsi="宋体" w:cs="宋体"/>
          <w:b w:val="0"/>
          <w:bCs/>
          <w:color w:val="auto"/>
          <w:szCs w:val="21"/>
          <w:highlight w:val="none"/>
        </w:rPr>
        <w:br w:type="page"/>
      </w:r>
    </w:p>
    <w:bookmarkEnd w:id="611"/>
    <w:bookmarkEnd w:id="612"/>
    <w:bookmarkEnd w:id="906"/>
    <w:p w14:paraId="7F034417">
      <w:pPr>
        <w:ind w:right="561"/>
        <w:rPr>
          <w:rFonts w:hint="eastAsia" w:ascii="宋体" w:hAnsi="宋体" w:cs="宋体"/>
          <w:b w:val="0"/>
          <w:bCs/>
          <w:color w:val="auto"/>
          <w:szCs w:val="21"/>
          <w:highlight w:val="none"/>
        </w:rPr>
      </w:pPr>
      <w:bookmarkStart w:id="907" w:name="招标文件05章工程量清单"/>
      <w:bookmarkEnd w:id="907"/>
    </w:p>
    <w:p w14:paraId="7F034418">
      <w:pPr>
        <w:pStyle w:val="3"/>
        <w:spacing w:before="0" w:after="0" w:line="360" w:lineRule="auto"/>
        <w:jc w:val="center"/>
        <w:rPr>
          <w:rFonts w:hint="eastAsia" w:ascii="宋体" w:hAnsi="宋体" w:cs="宋体"/>
          <w:b w:val="0"/>
          <w:bCs/>
          <w:color w:val="auto"/>
          <w:sz w:val="52"/>
          <w:szCs w:val="52"/>
          <w:highlight w:val="none"/>
        </w:rPr>
      </w:pPr>
      <w:bookmarkStart w:id="908" w:name="_Toc534185823"/>
      <w:bookmarkStart w:id="909" w:name="_Toc509218844"/>
      <w:bookmarkStart w:id="910" w:name="_Toc17662"/>
      <w:r>
        <w:rPr>
          <w:rFonts w:hint="eastAsia" w:ascii="宋体" w:hAnsi="宋体" w:cs="宋体"/>
          <w:b w:val="0"/>
          <w:bCs/>
          <w:color w:val="auto"/>
          <w:sz w:val="52"/>
          <w:szCs w:val="52"/>
          <w:highlight w:val="none"/>
        </w:rPr>
        <w:t>第 二 卷</w:t>
      </w:r>
      <w:bookmarkEnd w:id="908"/>
      <w:bookmarkEnd w:id="909"/>
      <w:bookmarkEnd w:id="910"/>
    </w:p>
    <w:p w14:paraId="7F034419">
      <w:pPr>
        <w:spacing w:line="360" w:lineRule="auto"/>
        <w:rPr>
          <w:rFonts w:hint="eastAsia" w:ascii="宋体" w:hAnsi="宋体" w:cs="宋体"/>
          <w:b w:val="0"/>
          <w:bCs/>
          <w:color w:val="auto"/>
          <w:szCs w:val="20"/>
          <w:highlight w:val="none"/>
        </w:rPr>
      </w:pPr>
      <w:r>
        <w:rPr>
          <w:rFonts w:hint="eastAsia" w:ascii="宋体" w:hAnsi="宋体" w:cs="宋体"/>
          <w:b w:val="0"/>
          <w:bCs/>
          <w:color w:val="auto"/>
          <w:szCs w:val="20"/>
          <w:highlight w:val="none"/>
        </w:rPr>
        <w:br w:type="page"/>
      </w:r>
    </w:p>
    <w:p w14:paraId="7F03441A">
      <w:pPr>
        <w:pStyle w:val="3"/>
        <w:spacing w:line="360" w:lineRule="auto"/>
        <w:jc w:val="center"/>
        <w:rPr>
          <w:rFonts w:hint="eastAsia" w:ascii="宋体" w:hAnsi="宋体" w:cs="宋体"/>
          <w:b w:val="0"/>
          <w:bCs/>
          <w:color w:val="auto"/>
          <w:highlight w:val="none"/>
        </w:rPr>
      </w:pPr>
      <w:bookmarkStart w:id="911" w:name="招标文件06章图纸"/>
      <w:bookmarkEnd w:id="911"/>
      <w:bookmarkStart w:id="912" w:name="_Toc509218846"/>
      <w:bookmarkStart w:id="913" w:name="_Toc534185825"/>
      <w:bookmarkStart w:id="914" w:name="_Toc430530519"/>
      <w:bookmarkStart w:id="915" w:name="_Toc287620803"/>
      <w:bookmarkStart w:id="916" w:name="_Toc287607861"/>
      <w:bookmarkStart w:id="917" w:name="_Toc12454"/>
      <w:r>
        <w:rPr>
          <w:rFonts w:hint="eastAsia" w:ascii="宋体" w:hAnsi="宋体" w:cs="宋体"/>
          <w:b w:val="0"/>
          <w:bCs/>
          <w:color w:val="auto"/>
          <w:highlight w:val="none"/>
        </w:rPr>
        <w:t xml:space="preserve">第五章  </w:t>
      </w:r>
      <w:bookmarkEnd w:id="912"/>
      <w:bookmarkEnd w:id="913"/>
      <w:bookmarkEnd w:id="914"/>
      <w:bookmarkEnd w:id="915"/>
      <w:bookmarkEnd w:id="916"/>
      <w:r>
        <w:rPr>
          <w:rFonts w:hint="eastAsia" w:ascii="宋体" w:hAnsi="宋体" w:cs="宋体"/>
          <w:b w:val="0"/>
          <w:bCs/>
          <w:color w:val="auto"/>
          <w:highlight w:val="none"/>
        </w:rPr>
        <w:t>供货要求</w:t>
      </w:r>
      <w:bookmarkEnd w:id="917"/>
    </w:p>
    <w:p w14:paraId="7F03441B">
      <w:pPr>
        <w:spacing w:line="360" w:lineRule="auto"/>
        <w:rPr>
          <w:rFonts w:hint="eastAsia" w:ascii="宋体" w:hAnsi="宋体" w:cs="宋体"/>
          <w:b w:val="0"/>
          <w:bCs/>
          <w:color w:val="auto"/>
          <w:szCs w:val="20"/>
          <w:highlight w:val="none"/>
        </w:rPr>
      </w:pPr>
    </w:p>
    <w:p w14:paraId="7F03441C">
      <w:pPr>
        <w:widowControl/>
        <w:jc w:val="left"/>
        <w:rPr>
          <w:rFonts w:hint="eastAsia" w:ascii="宋体" w:hAnsi="宋体" w:cs="宋体"/>
          <w:b w:val="0"/>
          <w:bCs/>
          <w:color w:val="auto"/>
          <w:szCs w:val="20"/>
          <w:highlight w:val="none"/>
        </w:rPr>
      </w:pPr>
      <w:bookmarkStart w:id="918" w:name="招标文件06章图纸01"/>
      <w:bookmarkEnd w:id="918"/>
      <w:bookmarkStart w:id="919" w:name="_Toc430530520"/>
      <w:bookmarkStart w:id="920" w:name="_Toc287620804"/>
      <w:r>
        <w:rPr>
          <w:rFonts w:hint="eastAsia" w:ascii="宋体" w:hAnsi="宋体" w:cs="宋体"/>
          <w:b w:val="0"/>
          <w:bCs/>
          <w:color w:val="auto"/>
          <w:szCs w:val="20"/>
          <w:highlight w:val="none"/>
        </w:rPr>
        <w:br w:type="page"/>
      </w:r>
    </w:p>
    <w:p w14:paraId="7F03441D">
      <w:pPr>
        <w:bidi w:val="0"/>
        <w:jc w:val="center"/>
        <w:rPr>
          <w:rFonts w:hint="eastAsia"/>
          <w:b w:val="0"/>
          <w:bCs/>
          <w:color w:val="auto"/>
          <w:sz w:val="40"/>
          <w:szCs w:val="48"/>
          <w:highlight w:val="none"/>
        </w:rPr>
      </w:pPr>
      <w:bookmarkStart w:id="921" w:name="_Toc5906"/>
      <w:bookmarkStart w:id="922" w:name="_Toc20923"/>
      <w:bookmarkStart w:id="923" w:name="_Toc5398"/>
      <w:bookmarkStart w:id="924" w:name="_Toc29630"/>
      <w:r>
        <w:rPr>
          <w:rFonts w:hint="eastAsia"/>
          <w:b w:val="0"/>
          <w:bCs/>
          <w:color w:val="auto"/>
          <w:sz w:val="40"/>
          <w:szCs w:val="48"/>
          <w:highlight w:val="none"/>
        </w:rPr>
        <w:t>供货要求</w:t>
      </w:r>
      <w:bookmarkEnd w:id="921"/>
      <w:bookmarkEnd w:id="922"/>
      <w:bookmarkEnd w:id="923"/>
      <w:bookmarkEnd w:id="924"/>
    </w:p>
    <w:p w14:paraId="7F034422">
      <w:pPr>
        <w:pStyle w:val="5"/>
        <w:autoSpaceDE w:val="0"/>
        <w:autoSpaceDN w:val="0"/>
        <w:adjustRightInd w:val="0"/>
        <w:spacing w:before="9"/>
        <w:jc w:val="left"/>
        <w:rPr>
          <w:rFonts w:ascii="宋体" w:hAnsi="宋体" w:cs="宋体"/>
          <w:b w:val="0"/>
          <w:bCs/>
          <w:color w:val="auto"/>
          <w:sz w:val="21"/>
          <w:szCs w:val="21"/>
          <w:highlight w:val="none"/>
        </w:rPr>
      </w:pPr>
      <w:bookmarkStart w:id="925" w:name="_Toc32242"/>
      <w:bookmarkStart w:id="926" w:name="_Toc13122"/>
      <w:bookmarkStart w:id="927" w:name="_Toc13810"/>
      <w:bookmarkStart w:id="928" w:name="_Toc32322"/>
      <w:bookmarkStart w:id="929" w:name="_Toc20607"/>
      <w:bookmarkStart w:id="930" w:name="_Toc28304"/>
      <w:r>
        <w:rPr>
          <w:rFonts w:hint="eastAsia" w:ascii="宋体" w:hAnsi="宋体" w:cs="宋体"/>
          <w:b w:val="0"/>
          <w:bCs/>
          <w:color w:val="auto"/>
          <w:szCs w:val="28"/>
          <w:highlight w:val="none"/>
        </w:rPr>
        <w:t>一、项目概况及总体要求</w:t>
      </w:r>
      <w:bookmarkEnd w:id="925"/>
      <w:bookmarkEnd w:id="926"/>
      <w:bookmarkEnd w:id="927"/>
      <w:bookmarkEnd w:id="928"/>
      <w:bookmarkEnd w:id="929"/>
      <w:bookmarkEnd w:id="930"/>
    </w:p>
    <w:p w14:paraId="7F034423">
      <w:pPr>
        <w:spacing w:line="44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（一）重庆三航新材料技术研究院有限公司泸州项目设备一标段：采购1台钛及钛合金电极块压制机组(45MN)；</w:t>
      </w:r>
    </w:p>
    <w:p w14:paraId="7F034424">
      <w:pPr>
        <w:spacing w:line="44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（二）重庆三航新材料技术研究院有限公司泸州项目设备二标段：采购1台1000kg真空自耗电弧炉；采购2台300kg真空自耗电弧炉；</w:t>
      </w:r>
    </w:p>
    <w:p w14:paraId="7F034427">
      <w:pPr>
        <w:spacing w:line="44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（三）重庆三航新材料技术研究院有限公司泸州项目设备三标段：采购1台冷坩埚悬浮熔炼炉(Fe50kg)。</w:t>
      </w:r>
      <w:bookmarkStart w:id="931" w:name="_Toc25145"/>
      <w:bookmarkStart w:id="932" w:name="_Toc5250"/>
      <w:bookmarkStart w:id="933" w:name="_Toc18697"/>
      <w:bookmarkStart w:id="934" w:name="_Toc11088"/>
      <w:bookmarkStart w:id="935" w:name="_Toc19689"/>
    </w:p>
    <w:p w14:paraId="7F03442A">
      <w:pPr>
        <w:pStyle w:val="5"/>
        <w:autoSpaceDE w:val="0"/>
        <w:autoSpaceDN w:val="0"/>
        <w:adjustRightInd w:val="0"/>
        <w:jc w:val="left"/>
        <w:rPr>
          <w:rFonts w:ascii="宋体" w:hAnsi="宋体" w:cs="宋体"/>
          <w:b w:val="0"/>
          <w:bCs/>
          <w:color w:val="auto"/>
          <w:kern w:val="0"/>
          <w:sz w:val="20"/>
          <w:highlight w:val="none"/>
        </w:rPr>
      </w:pPr>
      <w:bookmarkStart w:id="936" w:name="_Toc6875"/>
      <w:r>
        <w:rPr>
          <w:rFonts w:hint="eastAsia" w:ascii="宋体" w:hAnsi="宋体" w:cs="宋体"/>
          <w:b w:val="0"/>
          <w:bCs/>
          <w:color w:val="auto"/>
          <w:szCs w:val="28"/>
          <w:highlight w:val="none"/>
        </w:rPr>
        <w:t>二、设备（材料）需求一览表</w:t>
      </w:r>
      <w:bookmarkEnd w:id="931"/>
      <w:bookmarkEnd w:id="932"/>
      <w:bookmarkEnd w:id="933"/>
      <w:bookmarkEnd w:id="934"/>
      <w:bookmarkEnd w:id="935"/>
      <w:bookmarkEnd w:id="936"/>
    </w:p>
    <w:tbl>
      <w:tblPr>
        <w:tblStyle w:val="46"/>
        <w:tblW w:w="9499" w:type="dxa"/>
        <w:tblInd w:w="102" w:type="dxa"/>
        <w:tblLayout w:type="fixed"/>
        <w:tblCellMar>
          <w:top w:w="0" w:type="dxa"/>
          <w:left w:w="0" w:type="dxa"/>
          <w:bottom w:w="0" w:type="dxa"/>
          <w:right w:w="0" w:type="dxa"/>
        </w:tblCellMar>
      </w:tblPr>
      <w:tblGrid>
        <w:gridCol w:w="1886"/>
        <w:gridCol w:w="4367"/>
        <w:gridCol w:w="3246"/>
      </w:tblGrid>
      <w:tr w14:paraId="7F03442E">
        <w:tblPrEx>
          <w:tblCellMar>
            <w:top w:w="0" w:type="dxa"/>
            <w:left w:w="0" w:type="dxa"/>
            <w:bottom w:w="0" w:type="dxa"/>
            <w:right w:w="0" w:type="dxa"/>
          </w:tblCellMar>
        </w:tblPrEx>
        <w:trPr>
          <w:trHeight w:val="599" w:hRule="exact"/>
        </w:trPr>
        <w:tc>
          <w:tcPr>
            <w:tcW w:w="1886" w:type="dxa"/>
            <w:tcBorders>
              <w:top w:val="single" w:color="000000" w:sz="4" w:space="0"/>
              <w:left w:val="single" w:color="000000" w:sz="4" w:space="0"/>
              <w:bottom w:val="single" w:color="000000" w:sz="4" w:space="0"/>
              <w:right w:val="single" w:color="000000" w:sz="4" w:space="0"/>
            </w:tcBorders>
            <w:vAlign w:val="center"/>
          </w:tcPr>
          <w:p w14:paraId="7F03442B">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序号</w:t>
            </w:r>
          </w:p>
        </w:tc>
        <w:tc>
          <w:tcPr>
            <w:tcW w:w="4367" w:type="dxa"/>
            <w:tcBorders>
              <w:top w:val="single" w:color="000000" w:sz="4" w:space="0"/>
              <w:left w:val="single" w:color="000000" w:sz="4" w:space="0"/>
              <w:bottom w:val="single" w:color="000000" w:sz="4" w:space="0"/>
              <w:right w:val="single" w:color="000000" w:sz="4" w:space="0"/>
            </w:tcBorders>
            <w:vAlign w:val="center"/>
          </w:tcPr>
          <w:p w14:paraId="7F03442C">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设备（材料）名称</w:t>
            </w:r>
          </w:p>
        </w:tc>
        <w:tc>
          <w:tcPr>
            <w:tcW w:w="3246" w:type="dxa"/>
            <w:tcBorders>
              <w:top w:val="single" w:color="000000" w:sz="4" w:space="0"/>
              <w:left w:val="single" w:color="000000" w:sz="4" w:space="0"/>
              <w:bottom w:val="single" w:color="000000" w:sz="4" w:space="0"/>
              <w:right w:val="single" w:color="000000" w:sz="4" w:space="0"/>
            </w:tcBorders>
            <w:vAlign w:val="center"/>
          </w:tcPr>
          <w:p w14:paraId="7F03442D">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数量及单位</w:t>
            </w:r>
          </w:p>
        </w:tc>
      </w:tr>
      <w:tr w14:paraId="7F034433">
        <w:tblPrEx>
          <w:tblCellMar>
            <w:top w:w="0" w:type="dxa"/>
            <w:left w:w="0" w:type="dxa"/>
            <w:bottom w:w="0" w:type="dxa"/>
            <w:right w:w="0" w:type="dxa"/>
          </w:tblCellMar>
        </w:tblPrEx>
        <w:trPr>
          <w:trHeight w:val="632" w:hRule="exact"/>
        </w:trPr>
        <w:tc>
          <w:tcPr>
            <w:tcW w:w="1886" w:type="dxa"/>
            <w:tcBorders>
              <w:top w:val="single" w:color="000000" w:sz="4" w:space="0"/>
              <w:left w:val="single" w:color="000000" w:sz="4" w:space="0"/>
              <w:bottom w:val="single" w:color="000000" w:sz="4" w:space="0"/>
              <w:right w:val="single" w:color="000000" w:sz="4" w:space="0"/>
            </w:tcBorders>
            <w:vAlign w:val="center"/>
          </w:tcPr>
          <w:p w14:paraId="7F034430">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1</w:t>
            </w:r>
          </w:p>
        </w:tc>
        <w:tc>
          <w:tcPr>
            <w:tcW w:w="4367" w:type="dxa"/>
            <w:tcBorders>
              <w:top w:val="single" w:color="000000" w:sz="4" w:space="0"/>
              <w:left w:val="single" w:color="000000" w:sz="4" w:space="0"/>
              <w:bottom w:val="single" w:color="000000" w:sz="4" w:space="0"/>
              <w:right w:val="single" w:color="000000" w:sz="4" w:space="0"/>
            </w:tcBorders>
            <w:vAlign w:val="center"/>
          </w:tcPr>
          <w:p w14:paraId="7F034431">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钛及钛合金电极块压制机组(45MN)</w:t>
            </w:r>
          </w:p>
        </w:tc>
        <w:tc>
          <w:tcPr>
            <w:tcW w:w="3246" w:type="dxa"/>
            <w:tcBorders>
              <w:top w:val="single" w:color="000000" w:sz="4" w:space="0"/>
              <w:left w:val="single" w:color="000000" w:sz="4" w:space="0"/>
              <w:bottom w:val="single" w:color="000000" w:sz="4" w:space="0"/>
              <w:right w:val="single" w:color="000000" w:sz="4" w:space="0"/>
            </w:tcBorders>
            <w:vAlign w:val="center"/>
          </w:tcPr>
          <w:p w14:paraId="7F034432">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1/</w:t>
            </w:r>
            <w:r>
              <w:rPr>
                <w:rFonts w:hint="eastAsia" w:ascii="宋体" w:hAnsi="宋体" w:cs="宋体"/>
                <w:b w:val="0"/>
                <w:bCs/>
                <w:color w:val="auto"/>
                <w:szCs w:val="21"/>
                <w:highlight w:val="none"/>
              </w:rPr>
              <w:t>套</w:t>
            </w:r>
          </w:p>
        </w:tc>
      </w:tr>
      <w:tr w14:paraId="7F034438">
        <w:tblPrEx>
          <w:tblCellMar>
            <w:top w:w="0" w:type="dxa"/>
            <w:left w:w="0" w:type="dxa"/>
            <w:bottom w:w="0" w:type="dxa"/>
            <w:right w:w="0" w:type="dxa"/>
          </w:tblCellMar>
        </w:tblPrEx>
        <w:trPr>
          <w:trHeight w:val="570" w:hRule="exact"/>
        </w:trPr>
        <w:tc>
          <w:tcPr>
            <w:tcW w:w="1886" w:type="dxa"/>
            <w:tcBorders>
              <w:top w:val="single" w:color="000000" w:sz="4" w:space="0"/>
              <w:left w:val="single" w:color="000000" w:sz="4" w:space="0"/>
              <w:bottom w:val="single" w:color="000000" w:sz="4" w:space="0"/>
              <w:right w:val="single" w:color="000000" w:sz="4" w:space="0"/>
            </w:tcBorders>
            <w:vAlign w:val="center"/>
          </w:tcPr>
          <w:p w14:paraId="7F034435">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2</w:t>
            </w:r>
          </w:p>
        </w:tc>
        <w:tc>
          <w:tcPr>
            <w:tcW w:w="4367" w:type="dxa"/>
            <w:tcBorders>
              <w:top w:val="single" w:color="000000" w:sz="4" w:space="0"/>
              <w:left w:val="single" w:color="000000" w:sz="4" w:space="0"/>
              <w:bottom w:val="single" w:color="000000" w:sz="4" w:space="0"/>
              <w:right w:val="single" w:color="000000" w:sz="4" w:space="0"/>
            </w:tcBorders>
            <w:vAlign w:val="center"/>
          </w:tcPr>
          <w:p w14:paraId="7F034436">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1000kg真空自耗电弧炉</w:t>
            </w:r>
          </w:p>
        </w:tc>
        <w:tc>
          <w:tcPr>
            <w:tcW w:w="3246" w:type="dxa"/>
            <w:tcBorders>
              <w:top w:val="single" w:color="000000" w:sz="4" w:space="0"/>
              <w:left w:val="single" w:color="000000" w:sz="4" w:space="0"/>
              <w:bottom w:val="single" w:color="000000" w:sz="4" w:space="0"/>
              <w:right w:val="single" w:color="000000" w:sz="4" w:space="0"/>
            </w:tcBorders>
            <w:vAlign w:val="center"/>
          </w:tcPr>
          <w:p w14:paraId="7F034437">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1</w:t>
            </w:r>
            <w:r>
              <w:rPr>
                <w:rFonts w:hint="eastAsia" w:ascii="宋体" w:hAnsi="宋体" w:cs="宋体"/>
                <w:b w:val="0"/>
                <w:bCs/>
                <w:color w:val="auto"/>
                <w:szCs w:val="21"/>
                <w:highlight w:val="none"/>
              </w:rPr>
              <w:t>台</w:t>
            </w:r>
          </w:p>
        </w:tc>
      </w:tr>
      <w:tr w14:paraId="7F03443D">
        <w:tblPrEx>
          <w:tblCellMar>
            <w:top w:w="0" w:type="dxa"/>
            <w:left w:w="0" w:type="dxa"/>
            <w:bottom w:w="0" w:type="dxa"/>
            <w:right w:w="0" w:type="dxa"/>
          </w:tblCellMar>
        </w:tblPrEx>
        <w:trPr>
          <w:trHeight w:val="542" w:hRule="exact"/>
        </w:trPr>
        <w:tc>
          <w:tcPr>
            <w:tcW w:w="1886" w:type="dxa"/>
            <w:tcBorders>
              <w:top w:val="single" w:color="000000" w:sz="4" w:space="0"/>
              <w:left w:val="single" w:color="000000" w:sz="4" w:space="0"/>
              <w:bottom w:val="single" w:color="000000" w:sz="4" w:space="0"/>
              <w:right w:val="single" w:color="000000" w:sz="4" w:space="0"/>
            </w:tcBorders>
            <w:vAlign w:val="center"/>
          </w:tcPr>
          <w:p w14:paraId="7F03443A">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3</w:t>
            </w:r>
          </w:p>
        </w:tc>
        <w:tc>
          <w:tcPr>
            <w:tcW w:w="4367" w:type="dxa"/>
            <w:tcBorders>
              <w:top w:val="single" w:color="000000" w:sz="4" w:space="0"/>
              <w:left w:val="single" w:color="000000" w:sz="4" w:space="0"/>
              <w:bottom w:val="single" w:color="000000" w:sz="4" w:space="0"/>
              <w:right w:val="single" w:color="000000" w:sz="4" w:space="0"/>
            </w:tcBorders>
            <w:vAlign w:val="center"/>
          </w:tcPr>
          <w:p w14:paraId="7F03443B">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300kg真空自耗电弧炉</w:t>
            </w:r>
          </w:p>
        </w:tc>
        <w:tc>
          <w:tcPr>
            <w:tcW w:w="3246" w:type="dxa"/>
            <w:tcBorders>
              <w:top w:val="single" w:color="000000" w:sz="4" w:space="0"/>
              <w:left w:val="single" w:color="000000" w:sz="4" w:space="0"/>
              <w:bottom w:val="single" w:color="000000" w:sz="4" w:space="0"/>
              <w:right w:val="single" w:color="000000" w:sz="4" w:space="0"/>
            </w:tcBorders>
            <w:vAlign w:val="center"/>
          </w:tcPr>
          <w:p w14:paraId="7F03443C">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2</w:t>
            </w:r>
            <w:r>
              <w:rPr>
                <w:rFonts w:hint="eastAsia" w:ascii="宋体" w:hAnsi="宋体" w:cs="宋体"/>
                <w:b w:val="0"/>
                <w:bCs/>
                <w:color w:val="auto"/>
                <w:szCs w:val="21"/>
                <w:highlight w:val="none"/>
              </w:rPr>
              <w:t>台</w:t>
            </w:r>
          </w:p>
        </w:tc>
      </w:tr>
      <w:tr w14:paraId="7F034442">
        <w:tblPrEx>
          <w:tblCellMar>
            <w:top w:w="0" w:type="dxa"/>
            <w:left w:w="0" w:type="dxa"/>
            <w:bottom w:w="0" w:type="dxa"/>
            <w:right w:w="0" w:type="dxa"/>
          </w:tblCellMar>
        </w:tblPrEx>
        <w:trPr>
          <w:trHeight w:val="664" w:hRule="exact"/>
        </w:trPr>
        <w:tc>
          <w:tcPr>
            <w:tcW w:w="1886" w:type="dxa"/>
            <w:tcBorders>
              <w:top w:val="single" w:color="000000" w:sz="4" w:space="0"/>
              <w:left w:val="single" w:color="000000" w:sz="4" w:space="0"/>
              <w:bottom w:val="single" w:color="000000" w:sz="4" w:space="0"/>
              <w:right w:val="single" w:color="000000" w:sz="4" w:space="0"/>
            </w:tcBorders>
            <w:vAlign w:val="center"/>
          </w:tcPr>
          <w:p w14:paraId="7F03443F">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4</w:t>
            </w:r>
          </w:p>
        </w:tc>
        <w:tc>
          <w:tcPr>
            <w:tcW w:w="4367" w:type="dxa"/>
            <w:tcBorders>
              <w:top w:val="single" w:color="000000" w:sz="4" w:space="0"/>
              <w:left w:val="single" w:color="000000" w:sz="4" w:space="0"/>
              <w:bottom w:val="single" w:color="000000" w:sz="4" w:space="0"/>
              <w:right w:val="single" w:color="000000" w:sz="4" w:space="0"/>
            </w:tcBorders>
            <w:vAlign w:val="center"/>
          </w:tcPr>
          <w:p w14:paraId="7F034440">
            <w:pPr>
              <w:spacing w:line="440" w:lineRule="exact"/>
              <w:jc w:val="center"/>
              <w:rPr>
                <w:rFonts w:ascii="宋体" w:hAnsi="宋体" w:cs="宋体"/>
                <w:b w:val="0"/>
                <w:bCs/>
                <w:color w:val="auto"/>
                <w:szCs w:val="21"/>
                <w:highlight w:val="none"/>
              </w:rPr>
            </w:pPr>
            <w:r>
              <w:rPr>
                <w:rFonts w:hint="eastAsia" w:ascii="宋体" w:hAnsi="宋体" w:cs="宋体"/>
                <w:b w:val="0"/>
                <w:bCs/>
                <w:color w:val="auto"/>
                <w:szCs w:val="21"/>
                <w:highlight w:val="none"/>
              </w:rPr>
              <w:t>冷坩埚悬浮熔炼炉(Fe50kg)</w:t>
            </w:r>
          </w:p>
        </w:tc>
        <w:tc>
          <w:tcPr>
            <w:tcW w:w="3246" w:type="dxa"/>
            <w:tcBorders>
              <w:top w:val="single" w:color="000000" w:sz="4" w:space="0"/>
              <w:left w:val="single" w:color="000000" w:sz="4" w:space="0"/>
              <w:bottom w:val="single" w:color="000000" w:sz="4" w:space="0"/>
              <w:right w:val="single" w:color="000000" w:sz="4" w:space="0"/>
            </w:tcBorders>
            <w:vAlign w:val="center"/>
          </w:tcPr>
          <w:p w14:paraId="7F034441">
            <w:pPr>
              <w:spacing w:line="440" w:lineRule="exact"/>
              <w:jc w:val="center"/>
              <w:rPr>
                <w:rFonts w:ascii="宋体" w:hAnsi="宋体" w:cs="宋体"/>
                <w:b w:val="0"/>
                <w:bCs/>
                <w:color w:val="auto"/>
                <w:szCs w:val="21"/>
                <w:highlight w:val="none"/>
              </w:rPr>
            </w:pPr>
            <w:r>
              <w:rPr>
                <w:rFonts w:ascii="宋体" w:hAnsi="宋体" w:cs="宋体"/>
                <w:b w:val="0"/>
                <w:bCs/>
                <w:color w:val="auto"/>
                <w:szCs w:val="21"/>
                <w:highlight w:val="none"/>
              </w:rPr>
              <w:t>1</w:t>
            </w:r>
            <w:r>
              <w:rPr>
                <w:rFonts w:hint="eastAsia" w:ascii="宋体" w:hAnsi="宋体" w:cs="宋体"/>
                <w:b w:val="0"/>
                <w:bCs/>
                <w:color w:val="auto"/>
                <w:szCs w:val="21"/>
                <w:highlight w:val="none"/>
              </w:rPr>
              <w:t>台</w:t>
            </w:r>
          </w:p>
        </w:tc>
      </w:tr>
    </w:tbl>
    <w:p w14:paraId="7F034448">
      <w:pPr>
        <w:pStyle w:val="5"/>
        <w:rPr>
          <w:rFonts w:ascii="宋体" w:hAnsi="宋体" w:cs="宋体"/>
          <w:b w:val="0"/>
          <w:bCs/>
          <w:color w:val="auto"/>
          <w:szCs w:val="28"/>
          <w:highlight w:val="none"/>
        </w:rPr>
      </w:pPr>
      <w:bookmarkStart w:id="937" w:name="_Toc27089"/>
      <w:bookmarkStart w:id="938" w:name="_Toc28097"/>
      <w:bookmarkStart w:id="939" w:name="_Toc31579"/>
      <w:bookmarkStart w:id="940" w:name="_Toc21216"/>
      <w:bookmarkStart w:id="941" w:name="_Toc19335"/>
      <w:bookmarkStart w:id="942" w:name="_Toc20702"/>
      <w:r>
        <w:rPr>
          <w:rFonts w:hint="eastAsia" w:ascii="宋体" w:hAnsi="宋体" w:cs="宋体"/>
          <w:b w:val="0"/>
          <w:bCs/>
          <w:color w:val="auto"/>
          <w:szCs w:val="28"/>
          <w:highlight w:val="none"/>
        </w:rPr>
        <w:t>三、设备（材料）技术要求</w:t>
      </w:r>
      <w:bookmarkEnd w:id="937"/>
    </w:p>
    <w:p w14:paraId="7F034449">
      <w:pPr>
        <w:spacing w:line="360" w:lineRule="auto"/>
        <w:jc w:val="center"/>
        <w:rPr>
          <w:rFonts w:ascii="宋体" w:hAnsi="宋体" w:cs="宋体"/>
          <w:b w:val="0"/>
          <w:bCs/>
          <w:color w:val="auto"/>
          <w:sz w:val="28"/>
          <w:szCs w:val="28"/>
          <w:highlight w:val="none"/>
        </w:rPr>
      </w:pPr>
      <w:r>
        <w:rPr>
          <w:rFonts w:ascii="宋体" w:hAnsi="宋体" w:cs="宋体"/>
          <w:b w:val="0"/>
          <w:bCs/>
          <w:color w:val="auto"/>
          <w:sz w:val="28"/>
          <w:szCs w:val="28"/>
          <w:highlight w:val="none"/>
        </w:rPr>
        <w:t xml:space="preserve"> </w:t>
      </w:r>
      <w:r>
        <w:rPr>
          <w:rFonts w:hint="eastAsia" w:ascii="宋体" w:hAnsi="宋体" w:cs="宋体"/>
          <w:b w:val="0"/>
          <w:bCs/>
          <w:color w:val="auto"/>
          <w:sz w:val="28"/>
          <w:szCs w:val="28"/>
          <w:highlight w:val="none"/>
        </w:rPr>
        <w:t>（一）真空自耗电弧熔炼成套设备（</w:t>
      </w:r>
      <w:r>
        <w:rPr>
          <w:rFonts w:ascii="宋体" w:hAnsi="宋体" w:cs="宋体"/>
          <w:b w:val="0"/>
          <w:bCs/>
          <w:color w:val="auto"/>
          <w:sz w:val="28"/>
          <w:szCs w:val="28"/>
          <w:highlight w:val="none"/>
        </w:rPr>
        <w:t>1000kg   300kg</w:t>
      </w:r>
      <w:r>
        <w:rPr>
          <w:rFonts w:hint="eastAsia" w:ascii="宋体" w:hAnsi="宋体" w:cs="宋体"/>
          <w:b w:val="0"/>
          <w:bCs/>
          <w:color w:val="auto"/>
          <w:sz w:val="28"/>
          <w:szCs w:val="28"/>
          <w:highlight w:val="none"/>
        </w:rPr>
        <w:t>）</w:t>
      </w:r>
    </w:p>
    <w:p w14:paraId="7F03444A">
      <w:pPr>
        <w:spacing w:line="500" w:lineRule="exact"/>
        <w:rPr>
          <w:b w:val="0"/>
          <w:bCs/>
          <w:color w:val="auto"/>
          <w:spacing w:val="10"/>
          <w:sz w:val="24"/>
          <w:highlight w:val="none"/>
        </w:rPr>
      </w:pPr>
      <w:r>
        <w:rPr>
          <w:b w:val="0"/>
          <w:bCs/>
          <w:color w:val="auto"/>
          <w:spacing w:val="10"/>
          <w:sz w:val="24"/>
          <w:highlight w:val="none"/>
        </w:rPr>
        <w:t>1、目的</w:t>
      </w:r>
    </w:p>
    <w:p w14:paraId="7F03444B">
      <w:pPr>
        <w:spacing w:line="480" w:lineRule="exact"/>
        <w:ind w:firstLine="520" w:firstLineChars="200"/>
        <w:rPr>
          <w:b w:val="0"/>
          <w:bCs/>
          <w:color w:val="auto"/>
          <w:spacing w:val="10"/>
          <w:sz w:val="24"/>
          <w:highlight w:val="none"/>
        </w:rPr>
      </w:pPr>
      <w:r>
        <w:rPr>
          <w:b w:val="0"/>
          <w:bCs/>
          <w:color w:val="auto"/>
          <w:spacing w:val="10"/>
          <w:sz w:val="24"/>
          <w:highlight w:val="none"/>
        </w:rPr>
        <w:t>本技术要求作为</w:t>
      </w:r>
      <w:r>
        <w:rPr>
          <w:rFonts w:hint="eastAsia"/>
          <w:b w:val="0"/>
          <w:bCs/>
          <w:color w:val="auto"/>
          <w:spacing w:val="10"/>
          <w:sz w:val="24"/>
          <w:highlight w:val="none"/>
        </w:rPr>
        <w:t>1台1000kg</w:t>
      </w:r>
      <w:r>
        <w:rPr>
          <w:b w:val="0"/>
          <w:bCs/>
          <w:color w:val="auto"/>
          <w:spacing w:val="10"/>
          <w:sz w:val="24"/>
          <w:highlight w:val="none"/>
        </w:rPr>
        <w:t>真空自耗电弧熔炼成套设备</w:t>
      </w:r>
      <w:r>
        <w:rPr>
          <w:rFonts w:hint="eastAsia"/>
          <w:b w:val="0"/>
          <w:bCs/>
          <w:color w:val="auto"/>
          <w:spacing w:val="10"/>
          <w:sz w:val="24"/>
          <w:highlight w:val="none"/>
        </w:rPr>
        <w:t>、2台300kg</w:t>
      </w:r>
      <w:r>
        <w:rPr>
          <w:b w:val="0"/>
          <w:bCs/>
          <w:color w:val="auto"/>
          <w:spacing w:val="10"/>
          <w:sz w:val="24"/>
          <w:highlight w:val="none"/>
        </w:rPr>
        <w:t>真空自耗电弧熔炼成套设备标书制作、招投标、安装、调试及验收的主要依据。</w:t>
      </w:r>
    </w:p>
    <w:p w14:paraId="7F03444C">
      <w:pPr>
        <w:spacing w:line="500" w:lineRule="exact"/>
        <w:rPr>
          <w:b w:val="0"/>
          <w:bCs/>
          <w:color w:val="auto"/>
          <w:spacing w:val="10"/>
          <w:sz w:val="24"/>
          <w:highlight w:val="none"/>
        </w:rPr>
      </w:pPr>
      <w:r>
        <w:rPr>
          <w:b w:val="0"/>
          <w:bCs/>
          <w:color w:val="auto"/>
          <w:spacing w:val="10"/>
          <w:sz w:val="24"/>
          <w:highlight w:val="none"/>
        </w:rPr>
        <w:t>2、范围</w:t>
      </w:r>
    </w:p>
    <w:p w14:paraId="7F03444D">
      <w:pPr>
        <w:spacing w:line="500" w:lineRule="exact"/>
        <w:ind w:firstLine="520" w:firstLineChars="200"/>
        <w:rPr>
          <w:b w:val="0"/>
          <w:bCs/>
          <w:color w:val="auto"/>
          <w:spacing w:val="10"/>
          <w:sz w:val="24"/>
          <w:highlight w:val="none"/>
        </w:rPr>
      </w:pPr>
      <w:r>
        <w:rPr>
          <w:b w:val="0"/>
          <w:bCs/>
          <w:color w:val="auto"/>
          <w:spacing w:val="10"/>
          <w:sz w:val="24"/>
          <w:highlight w:val="none"/>
        </w:rPr>
        <w:t>本技术要求适用于</w:t>
      </w:r>
      <w:r>
        <w:rPr>
          <w:rFonts w:hint="eastAsia"/>
          <w:b w:val="0"/>
          <w:bCs/>
          <w:color w:val="auto"/>
          <w:spacing w:val="10"/>
          <w:sz w:val="24"/>
          <w:highlight w:val="none"/>
        </w:rPr>
        <w:t>1000kg、300kg</w:t>
      </w:r>
      <w:r>
        <w:rPr>
          <w:b w:val="0"/>
          <w:bCs/>
          <w:color w:val="auto"/>
          <w:spacing w:val="10"/>
          <w:sz w:val="24"/>
          <w:highlight w:val="none"/>
        </w:rPr>
        <w:t>真空自耗电弧熔炼成套设备标书制作、招投标、安装、调试、验收以及正常生产使用（质保期内）的所有过程。</w:t>
      </w:r>
    </w:p>
    <w:p w14:paraId="7F03444E">
      <w:pPr>
        <w:spacing w:line="500" w:lineRule="exact"/>
        <w:rPr>
          <w:b w:val="0"/>
          <w:bCs/>
          <w:color w:val="auto"/>
          <w:spacing w:val="10"/>
          <w:sz w:val="24"/>
          <w:highlight w:val="none"/>
        </w:rPr>
      </w:pPr>
      <w:r>
        <w:rPr>
          <w:b w:val="0"/>
          <w:bCs/>
          <w:color w:val="auto"/>
          <w:spacing w:val="10"/>
          <w:sz w:val="24"/>
          <w:highlight w:val="none"/>
        </w:rPr>
        <w:t>3、设备主要用途</w:t>
      </w:r>
    </w:p>
    <w:p w14:paraId="7F03444F">
      <w:pPr>
        <w:spacing w:line="500" w:lineRule="exact"/>
        <w:ind w:firstLine="520" w:firstLineChars="200"/>
        <w:rPr>
          <w:b w:val="0"/>
          <w:bCs/>
          <w:color w:val="auto"/>
          <w:spacing w:val="10"/>
          <w:sz w:val="24"/>
          <w:highlight w:val="none"/>
        </w:rPr>
      </w:pPr>
      <w:r>
        <w:rPr>
          <w:b w:val="0"/>
          <w:bCs/>
          <w:color w:val="auto"/>
          <w:spacing w:val="10"/>
          <w:sz w:val="24"/>
          <w:highlight w:val="none"/>
        </w:rPr>
        <w:t>进行钛、锆等稀有难熔金属及其合金铸锭的真空自耗熔炼。</w:t>
      </w:r>
    </w:p>
    <w:p w14:paraId="7F034450">
      <w:pPr>
        <w:spacing w:line="500" w:lineRule="exact"/>
        <w:rPr>
          <w:b w:val="0"/>
          <w:bCs/>
          <w:color w:val="auto"/>
          <w:spacing w:val="10"/>
          <w:sz w:val="24"/>
          <w:highlight w:val="none"/>
        </w:rPr>
      </w:pPr>
      <w:r>
        <w:rPr>
          <w:b w:val="0"/>
          <w:bCs/>
          <w:color w:val="auto"/>
          <w:spacing w:val="10"/>
          <w:sz w:val="24"/>
          <w:highlight w:val="none"/>
        </w:rPr>
        <w:t>4、总要求</w:t>
      </w:r>
    </w:p>
    <w:p w14:paraId="7F034451">
      <w:pPr>
        <w:spacing w:line="500" w:lineRule="exact"/>
        <w:ind w:firstLine="520" w:firstLineChars="200"/>
        <w:rPr>
          <w:b w:val="0"/>
          <w:bCs/>
          <w:color w:val="auto"/>
          <w:spacing w:val="10"/>
          <w:sz w:val="24"/>
          <w:highlight w:val="none"/>
        </w:rPr>
      </w:pPr>
      <w:r>
        <w:rPr>
          <w:b w:val="0"/>
          <w:bCs/>
          <w:color w:val="auto"/>
          <w:spacing w:val="10"/>
          <w:sz w:val="24"/>
          <w:highlight w:val="none"/>
        </w:rPr>
        <w:t>投标方拟向</w:t>
      </w:r>
      <w:r>
        <w:rPr>
          <w:rFonts w:hint="eastAsia"/>
          <w:b w:val="0"/>
          <w:bCs/>
          <w:color w:val="auto"/>
          <w:spacing w:val="10"/>
          <w:sz w:val="24"/>
          <w:highlight w:val="none"/>
        </w:rPr>
        <w:t>甲方</w:t>
      </w:r>
      <w:r>
        <w:rPr>
          <w:b w:val="0"/>
          <w:bCs/>
          <w:color w:val="auto"/>
          <w:spacing w:val="10"/>
          <w:sz w:val="24"/>
          <w:highlight w:val="none"/>
        </w:rPr>
        <w:t>提供的</w:t>
      </w:r>
      <w:r>
        <w:rPr>
          <w:rFonts w:hint="eastAsia"/>
          <w:b w:val="0"/>
          <w:bCs/>
          <w:color w:val="auto"/>
          <w:spacing w:val="10"/>
          <w:sz w:val="24"/>
          <w:highlight w:val="none"/>
        </w:rPr>
        <w:t>1000kg、300kg</w:t>
      </w:r>
      <w:r>
        <w:rPr>
          <w:b w:val="0"/>
          <w:bCs/>
          <w:color w:val="auto"/>
          <w:spacing w:val="10"/>
          <w:sz w:val="24"/>
          <w:highlight w:val="none"/>
        </w:rPr>
        <w:t>真空自耗电弧熔炼成套设备除能够满足产品的高效、可靠、安全生产外，</w:t>
      </w:r>
      <w:r>
        <w:rPr>
          <w:rFonts w:hint="eastAsia"/>
          <w:b w:val="0"/>
          <w:bCs/>
          <w:color w:val="auto"/>
          <w:spacing w:val="10"/>
          <w:sz w:val="24"/>
          <w:highlight w:val="none"/>
        </w:rPr>
        <w:t>如有进口部件及设备，供应商应在投标文件中说明进口品牌和制造厂家。供应商应明确进口软件、硬件的售后保障方案。投标方对设备结构的设计应能满足甲方提出的铸锭生产技术方案要求（见附录1、附录2）。</w:t>
      </w:r>
    </w:p>
    <w:p w14:paraId="7F034452">
      <w:pPr>
        <w:spacing w:line="500" w:lineRule="exact"/>
        <w:ind w:firstLine="520" w:firstLineChars="200"/>
        <w:rPr>
          <w:b w:val="0"/>
          <w:bCs/>
          <w:color w:val="auto"/>
          <w:spacing w:val="10"/>
          <w:sz w:val="24"/>
          <w:highlight w:val="none"/>
        </w:rPr>
      </w:pPr>
      <w:r>
        <w:rPr>
          <w:b w:val="0"/>
          <w:bCs/>
          <w:color w:val="auto"/>
          <w:spacing w:val="10"/>
          <w:sz w:val="24"/>
          <w:highlight w:val="none"/>
        </w:rPr>
        <w:t>此外，还应重点在以下方面实现设备的先进性与可靠性。</w:t>
      </w:r>
    </w:p>
    <w:p w14:paraId="7F034453">
      <w:pPr>
        <w:spacing w:line="500" w:lineRule="exact"/>
        <w:rPr>
          <w:b w:val="0"/>
          <w:bCs/>
          <w:color w:val="auto"/>
          <w:spacing w:val="10"/>
          <w:sz w:val="24"/>
          <w:highlight w:val="none"/>
        </w:rPr>
      </w:pPr>
      <w:r>
        <w:rPr>
          <w:b w:val="0"/>
          <w:bCs/>
          <w:color w:val="auto"/>
          <w:spacing w:val="10"/>
          <w:sz w:val="24"/>
          <w:highlight w:val="none"/>
        </w:rPr>
        <w:t>4.1 全同轴大电流馈入系统。可靠的双工位间电气控制切换功能。</w:t>
      </w:r>
    </w:p>
    <w:p w14:paraId="7F034454">
      <w:pPr>
        <w:spacing w:line="500" w:lineRule="exact"/>
        <w:rPr>
          <w:b w:val="0"/>
          <w:bCs/>
          <w:color w:val="auto"/>
          <w:spacing w:val="10"/>
          <w:sz w:val="24"/>
          <w:highlight w:val="none"/>
        </w:rPr>
      </w:pPr>
      <w:r>
        <w:rPr>
          <w:b w:val="0"/>
          <w:bCs/>
          <w:color w:val="auto"/>
          <w:spacing w:val="10"/>
          <w:sz w:val="24"/>
          <w:highlight w:val="none"/>
        </w:rPr>
        <w:t>4.2 稳定的称重系统，并减少其他部分的结构功能对称重系统的影响。</w:t>
      </w:r>
    </w:p>
    <w:p w14:paraId="7F034455">
      <w:pPr>
        <w:spacing w:line="500" w:lineRule="exact"/>
        <w:rPr>
          <w:b w:val="0"/>
          <w:bCs/>
          <w:color w:val="auto"/>
          <w:spacing w:val="10"/>
          <w:sz w:val="24"/>
          <w:highlight w:val="none"/>
        </w:rPr>
      </w:pPr>
      <w:r>
        <w:rPr>
          <w:b w:val="0"/>
          <w:bCs/>
          <w:color w:val="auto"/>
          <w:spacing w:val="10"/>
          <w:sz w:val="24"/>
          <w:highlight w:val="none"/>
        </w:rPr>
        <w:t xml:space="preserve">4.3 </w:t>
      </w:r>
      <w:r>
        <w:rPr>
          <w:rFonts w:hint="eastAsia"/>
          <w:b w:val="0"/>
          <w:bCs/>
          <w:color w:val="auto"/>
          <w:spacing w:val="10"/>
          <w:sz w:val="24"/>
          <w:highlight w:val="none"/>
        </w:rPr>
        <w:t>实现电流调节和熔速调节两种熔化速率控制方式，并可以实现设备运行过程的自动控制与手动控制，以及过程中两种控制方式的自由切换。（熔速调节功能，主要用于第2、第3次熔炼，其中过焊缝不考核，熔速反馈允许偏差参考大炉子为设定熔速的±5%）</w:t>
      </w:r>
    </w:p>
    <w:p w14:paraId="7F034456">
      <w:pPr>
        <w:spacing w:line="500" w:lineRule="exact"/>
        <w:rPr>
          <w:b w:val="0"/>
          <w:bCs/>
          <w:color w:val="auto"/>
          <w:spacing w:val="10"/>
          <w:sz w:val="24"/>
          <w:highlight w:val="none"/>
        </w:rPr>
      </w:pPr>
      <w:r>
        <w:rPr>
          <w:b w:val="0"/>
          <w:bCs/>
          <w:color w:val="auto"/>
          <w:spacing w:val="10"/>
          <w:sz w:val="24"/>
          <w:highlight w:val="none"/>
        </w:rPr>
        <w:t>4.4 灵敏的电弧间隙自动控制能力，同时具备人工干预功能。</w:t>
      </w:r>
    </w:p>
    <w:p w14:paraId="7F034457">
      <w:pPr>
        <w:spacing w:line="500" w:lineRule="exact"/>
        <w:rPr>
          <w:b w:val="0"/>
          <w:bCs/>
          <w:color w:val="auto"/>
          <w:spacing w:val="10"/>
          <w:sz w:val="24"/>
          <w:highlight w:val="none"/>
        </w:rPr>
      </w:pPr>
      <w:r>
        <w:rPr>
          <w:b w:val="0"/>
          <w:bCs/>
          <w:color w:val="auto"/>
          <w:spacing w:val="10"/>
          <w:sz w:val="24"/>
          <w:highlight w:val="none"/>
        </w:rPr>
        <w:t>4.5 能够对熔化站、的冷却水水温和水流量进行控制，能够实现对铸锭的温水冷却</w:t>
      </w:r>
      <w:r>
        <w:rPr>
          <w:rFonts w:hint="eastAsia"/>
          <w:b w:val="0"/>
          <w:bCs/>
          <w:color w:val="auto"/>
          <w:spacing w:val="10"/>
          <w:sz w:val="24"/>
          <w:highlight w:val="none"/>
        </w:rPr>
        <w:t>。能够监测</w:t>
      </w:r>
      <w:r>
        <w:rPr>
          <w:b w:val="0"/>
          <w:bCs/>
          <w:color w:val="auto"/>
          <w:spacing w:val="10"/>
          <w:sz w:val="24"/>
          <w:highlight w:val="none"/>
        </w:rPr>
        <w:t>电源、油增压泵及其他需要冷却部件</w:t>
      </w:r>
      <w:r>
        <w:rPr>
          <w:rFonts w:hint="eastAsia"/>
          <w:b w:val="0"/>
          <w:bCs/>
          <w:color w:val="auto"/>
          <w:spacing w:val="10"/>
          <w:sz w:val="24"/>
          <w:highlight w:val="none"/>
        </w:rPr>
        <w:t>的水温和水流量。</w:t>
      </w:r>
    </w:p>
    <w:p w14:paraId="7F034458">
      <w:pPr>
        <w:spacing w:line="500" w:lineRule="exact"/>
        <w:rPr>
          <w:b w:val="0"/>
          <w:bCs/>
          <w:color w:val="auto"/>
          <w:spacing w:val="10"/>
          <w:sz w:val="24"/>
          <w:highlight w:val="none"/>
          <w:u w:val="double"/>
        </w:rPr>
      </w:pPr>
      <w:r>
        <w:rPr>
          <w:b w:val="0"/>
          <w:bCs/>
          <w:color w:val="auto"/>
          <w:spacing w:val="10"/>
          <w:sz w:val="24"/>
          <w:highlight w:val="none"/>
        </w:rPr>
        <w:t>4.6 对摄像机位置、聚焦、滤光的调节以及成像显示，应能够便于操作人员对电极焊接和熔化过程的观察。同时在结构上，应便于操作人员更换观察孔镜片。</w:t>
      </w:r>
      <w:r>
        <w:rPr>
          <w:rFonts w:hint="eastAsia"/>
          <w:b w:val="0"/>
          <w:bCs/>
          <w:color w:val="auto"/>
          <w:spacing w:val="10"/>
          <w:sz w:val="24"/>
          <w:highlight w:val="none"/>
        </w:rPr>
        <w:t>能够进行影像录制，以便于技术人员进行焊接和熔炼过程的质量分析。</w:t>
      </w:r>
    </w:p>
    <w:p w14:paraId="7F034459">
      <w:pPr>
        <w:spacing w:line="500" w:lineRule="exact"/>
        <w:rPr>
          <w:b w:val="0"/>
          <w:bCs/>
          <w:color w:val="auto"/>
          <w:spacing w:val="10"/>
          <w:sz w:val="24"/>
          <w:highlight w:val="none"/>
        </w:rPr>
      </w:pPr>
      <w:r>
        <w:rPr>
          <w:b w:val="0"/>
          <w:bCs/>
          <w:color w:val="auto"/>
          <w:spacing w:val="10"/>
          <w:sz w:val="24"/>
          <w:highlight w:val="none"/>
        </w:rPr>
        <w:t xml:space="preserve">4.7 </w:t>
      </w:r>
      <w:r>
        <w:rPr>
          <w:rFonts w:hint="eastAsia"/>
          <w:b w:val="0"/>
          <w:bCs/>
          <w:color w:val="auto"/>
          <w:spacing w:val="10"/>
          <w:sz w:val="24"/>
          <w:highlight w:val="none"/>
        </w:rPr>
        <w:t>应在真空系统配置环保过滤装置，以确保排出气体无肉眼可见烟尘，不会对环境造成污染。</w:t>
      </w:r>
    </w:p>
    <w:p w14:paraId="7F03445A">
      <w:pPr>
        <w:spacing w:line="500" w:lineRule="exact"/>
        <w:rPr>
          <w:b w:val="0"/>
          <w:bCs/>
          <w:color w:val="auto"/>
          <w:spacing w:val="10"/>
          <w:sz w:val="24"/>
          <w:highlight w:val="none"/>
        </w:rPr>
      </w:pPr>
      <w:r>
        <w:rPr>
          <w:b w:val="0"/>
          <w:bCs/>
          <w:color w:val="auto"/>
          <w:spacing w:val="10"/>
          <w:sz w:val="24"/>
          <w:highlight w:val="none"/>
        </w:rPr>
        <w:t>4.8 最大程度的减小电磁搅拌线圈产生的磁场在水套底部至顶部、坩埚底部至顶部的差异。电磁搅拌线圈长寿命、易维护。消除搅拌磁场与熔炼电流共同作用下对熔池搅拌不均匀的影响。</w:t>
      </w:r>
    </w:p>
    <w:p w14:paraId="7F03445B">
      <w:pPr>
        <w:spacing w:line="500" w:lineRule="exact"/>
        <w:rPr>
          <w:b w:val="0"/>
          <w:bCs/>
          <w:color w:val="auto"/>
          <w:spacing w:val="10"/>
          <w:sz w:val="24"/>
          <w:highlight w:val="none"/>
        </w:rPr>
      </w:pPr>
      <w:r>
        <w:rPr>
          <w:b w:val="0"/>
          <w:bCs/>
          <w:color w:val="auto"/>
          <w:spacing w:val="10"/>
          <w:sz w:val="24"/>
          <w:highlight w:val="none"/>
        </w:rPr>
        <w:t xml:space="preserve">4.9 </w:t>
      </w:r>
      <w:r>
        <w:rPr>
          <w:rFonts w:hint="eastAsia"/>
          <w:b w:val="0"/>
          <w:bCs/>
          <w:color w:val="auto"/>
          <w:spacing w:val="10"/>
          <w:sz w:val="24"/>
          <w:highlight w:val="none"/>
        </w:rPr>
        <w:t>具备用于工艺及生产数据信息的管理软件或功能。乙方应全力配合甲方进行数据采集、集控以及产线自动化、数字化改造的相关工作，包括但不限于免费开放寄存器地址寄数据类型等。</w:t>
      </w:r>
    </w:p>
    <w:p w14:paraId="7F03445C">
      <w:pPr>
        <w:spacing w:line="500" w:lineRule="exact"/>
        <w:rPr>
          <w:b w:val="0"/>
          <w:bCs/>
          <w:color w:val="auto"/>
          <w:spacing w:val="10"/>
          <w:sz w:val="24"/>
          <w:highlight w:val="none"/>
        </w:rPr>
      </w:pPr>
      <w:r>
        <w:rPr>
          <w:b w:val="0"/>
          <w:bCs/>
          <w:color w:val="auto"/>
          <w:spacing w:val="10"/>
          <w:sz w:val="24"/>
          <w:highlight w:val="none"/>
        </w:rPr>
        <w:t xml:space="preserve">4.10 </w:t>
      </w:r>
      <w:r>
        <w:rPr>
          <w:rFonts w:hint="eastAsia"/>
          <w:b w:val="0"/>
          <w:bCs/>
          <w:color w:val="auto"/>
          <w:spacing w:val="10"/>
          <w:sz w:val="24"/>
          <w:highlight w:val="none"/>
        </w:rPr>
        <w:t>设备维保周期提醒；设备故障诊断及排故方案建议。</w:t>
      </w:r>
    </w:p>
    <w:p w14:paraId="7F03445D">
      <w:pPr>
        <w:spacing w:line="500" w:lineRule="exact"/>
        <w:rPr>
          <w:b w:val="0"/>
          <w:bCs/>
          <w:color w:val="auto"/>
          <w:spacing w:val="10"/>
          <w:sz w:val="24"/>
          <w:highlight w:val="none"/>
        </w:rPr>
      </w:pPr>
      <w:r>
        <w:rPr>
          <w:b w:val="0"/>
          <w:bCs/>
          <w:color w:val="auto"/>
          <w:spacing w:val="10"/>
          <w:sz w:val="24"/>
          <w:highlight w:val="none"/>
        </w:rPr>
        <w:t>4.11 便捷的人机对话功能。</w:t>
      </w:r>
    </w:p>
    <w:p w14:paraId="7F03445E">
      <w:pPr>
        <w:spacing w:line="500" w:lineRule="exact"/>
        <w:rPr>
          <w:b w:val="0"/>
          <w:bCs/>
          <w:color w:val="auto"/>
          <w:spacing w:val="10"/>
          <w:sz w:val="24"/>
          <w:highlight w:val="none"/>
        </w:rPr>
      </w:pPr>
      <w:r>
        <w:rPr>
          <w:b w:val="0"/>
          <w:bCs/>
          <w:color w:val="auto"/>
          <w:spacing w:val="10"/>
          <w:sz w:val="24"/>
          <w:highlight w:val="none"/>
        </w:rPr>
        <w:t>4.12</w:t>
      </w:r>
      <w:r>
        <w:rPr>
          <w:rFonts w:hint="eastAsia"/>
          <w:b w:val="0"/>
          <w:bCs/>
          <w:color w:val="auto"/>
          <w:spacing w:val="10"/>
          <w:sz w:val="24"/>
          <w:highlight w:val="none"/>
        </w:rPr>
        <w:t>真空系统的设备组成在满足甲方提出的真空度要求的同时，应通过优化设计实现运行的高可靠性和维护的便捷性与低成本。</w:t>
      </w:r>
    </w:p>
    <w:p w14:paraId="7F03445F">
      <w:pPr>
        <w:spacing w:line="500" w:lineRule="exact"/>
        <w:rPr>
          <w:b w:val="0"/>
          <w:bCs/>
          <w:color w:val="auto"/>
          <w:spacing w:val="10"/>
          <w:sz w:val="24"/>
          <w:highlight w:val="none"/>
        </w:rPr>
      </w:pPr>
      <w:r>
        <w:rPr>
          <w:b w:val="0"/>
          <w:bCs/>
          <w:color w:val="auto"/>
          <w:spacing w:val="10"/>
          <w:sz w:val="24"/>
          <w:highlight w:val="none"/>
        </w:rPr>
        <w:t>5、成套设备主要结构形式</w:t>
      </w:r>
    </w:p>
    <w:p w14:paraId="7F034460">
      <w:pPr>
        <w:spacing w:line="500" w:lineRule="exact"/>
        <w:ind w:firstLine="520" w:firstLineChars="200"/>
        <w:rPr>
          <w:b w:val="0"/>
          <w:bCs/>
          <w:color w:val="auto"/>
          <w:spacing w:val="10"/>
          <w:sz w:val="24"/>
          <w:highlight w:val="none"/>
        </w:rPr>
      </w:pPr>
      <w:r>
        <w:rPr>
          <w:b w:val="0"/>
          <w:bCs/>
          <w:color w:val="auto"/>
          <w:spacing w:val="10"/>
          <w:sz w:val="24"/>
          <w:highlight w:val="none"/>
        </w:rPr>
        <w:t>本要求所述的</w:t>
      </w:r>
      <w:r>
        <w:rPr>
          <w:rFonts w:hint="eastAsia"/>
          <w:b w:val="0"/>
          <w:bCs/>
          <w:color w:val="auto"/>
          <w:spacing w:val="10"/>
          <w:sz w:val="24"/>
          <w:highlight w:val="none"/>
        </w:rPr>
        <w:t>1000kg、300kg</w:t>
      </w:r>
      <w:r>
        <w:rPr>
          <w:b w:val="0"/>
          <w:bCs/>
          <w:color w:val="auto"/>
          <w:spacing w:val="10"/>
          <w:sz w:val="24"/>
          <w:highlight w:val="none"/>
        </w:rPr>
        <w:t>真空自耗电弧炉，为</w:t>
      </w:r>
      <w:r>
        <w:rPr>
          <w:rFonts w:hint="eastAsia"/>
          <w:b w:val="0"/>
          <w:bCs/>
          <w:color w:val="auto"/>
          <w:spacing w:val="10"/>
          <w:sz w:val="24"/>
          <w:highlight w:val="none"/>
        </w:rPr>
        <w:t>坩埚固定、炉头旋转移动式真空自耗电弧炉，</w:t>
      </w:r>
      <w:r>
        <w:rPr>
          <w:b w:val="0"/>
          <w:bCs/>
          <w:color w:val="auto"/>
          <w:spacing w:val="10"/>
          <w:sz w:val="24"/>
          <w:highlight w:val="none"/>
        </w:rPr>
        <w:t>每种直径的铸锭都有各自的铜结晶器。</w:t>
      </w:r>
    </w:p>
    <w:p w14:paraId="7F034461">
      <w:pPr>
        <w:spacing w:line="500" w:lineRule="exact"/>
        <w:rPr>
          <w:b w:val="0"/>
          <w:bCs/>
          <w:color w:val="auto"/>
          <w:spacing w:val="10"/>
          <w:sz w:val="24"/>
          <w:highlight w:val="none"/>
        </w:rPr>
      </w:pPr>
      <w:r>
        <w:rPr>
          <w:rFonts w:hint="eastAsia"/>
          <w:b w:val="0"/>
          <w:bCs/>
          <w:color w:val="auto"/>
          <w:spacing w:val="10"/>
          <w:sz w:val="24"/>
          <w:highlight w:val="none"/>
        </w:rPr>
        <w:t>（1）熔化主体结构配置方案：（龙门框架式）</w:t>
      </w:r>
    </w:p>
    <w:p w14:paraId="7F034462">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一个炉头+一个水套构成一个熔化工位。</w:t>
      </w:r>
    </w:p>
    <w:p w14:paraId="7F034463">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1000kg真空自耗电弧炉为双工位结构。</w:t>
      </w:r>
    </w:p>
    <w:p w14:paraId="7F034464">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300kg真空自耗电弧炉为单工位结构。</w:t>
      </w:r>
    </w:p>
    <w:p w14:paraId="7F034465">
      <w:pPr>
        <w:spacing w:line="500" w:lineRule="exact"/>
        <w:ind w:firstLine="520" w:firstLineChars="200"/>
        <w:rPr>
          <w:b w:val="0"/>
          <w:bCs/>
          <w:color w:val="auto"/>
          <w:spacing w:val="10"/>
          <w:sz w:val="24"/>
          <w:highlight w:val="none"/>
          <w:u w:val="double"/>
        </w:rPr>
      </w:pPr>
      <w:r>
        <w:rPr>
          <w:rFonts w:hint="eastAsia"/>
          <w:b w:val="0"/>
          <w:bCs/>
          <w:color w:val="auto"/>
          <w:spacing w:val="10"/>
          <w:sz w:val="24"/>
          <w:highlight w:val="none"/>
        </w:rPr>
        <w:t>每个工位各配备一套真空系统（即，1台1000kg真空自耗电弧炉配2套真空系统，2台300kg真空自耗电弧炉各配1套真空系统）。</w:t>
      </w:r>
    </w:p>
    <w:p w14:paraId="7F034466">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电弧炉</w:t>
      </w:r>
      <w:r>
        <w:rPr>
          <w:b w:val="0"/>
          <w:bCs/>
          <w:color w:val="auto"/>
          <w:spacing w:val="10"/>
          <w:sz w:val="24"/>
          <w:highlight w:val="none"/>
        </w:rPr>
        <w:t>冷却系统应能够实现对熔化站水套、熔炼电源、油增压泵、</w:t>
      </w:r>
      <w:r>
        <w:rPr>
          <w:rFonts w:hint="eastAsia"/>
          <w:b w:val="0"/>
          <w:bCs/>
          <w:color w:val="auto"/>
          <w:spacing w:val="10"/>
          <w:sz w:val="24"/>
          <w:highlight w:val="none"/>
        </w:rPr>
        <w:t>扩散泵、电极杆等</w:t>
      </w:r>
      <w:r>
        <w:rPr>
          <w:b w:val="0"/>
          <w:bCs/>
          <w:color w:val="auto"/>
          <w:spacing w:val="10"/>
          <w:sz w:val="24"/>
          <w:highlight w:val="none"/>
        </w:rPr>
        <w:t>其它需冷却部件的</w:t>
      </w:r>
      <w:r>
        <w:rPr>
          <w:rFonts w:hint="eastAsia"/>
          <w:b w:val="0"/>
          <w:bCs/>
          <w:color w:val="auto"/>
          <w:spacing w:val="10"/>
          <w:sz w:val="24"/>
          <w:highlight w:val="none"/>
        </w:rPr>
        <w:t>有效</w:t>
      </w:r>
      <w:r>
        <w:rPr>
          <w:b w:val="0"/>
          <w:bCs/>
          <w:color w:val="auto"/>
          <w:spacing w:val="10"/>
          <w:sz w:val="24"/>
          <w:highlight w:val="none"/>
        </w:rPr>
        <w:t>冷却。</w:t>
      </w:r>
    </w:p>
    <w:p w14:paraId="7F034467">
      <w:pPr>
        <w:spacing w:line="500" w:lineRule="exact"/>
        <w:rPr>
          <w:b w:val="0"/>
          <w:bCs/>
          <w:color w:val="auto"/>
          <w:spacing w:val="10"/>
          <w:sz w:val="24"/>
          <w:highlight w:val="none"/>
        </w:rPr>
      </w:pPr>
      <w:r>
        <w:rPr>
          <w:rFonts w:hint="eastAsia"/>
          <w:b w:val="0"/>
          <w:bCs/>
          <w:color w:val="auto"/>
          <w:spacing w:val="10"/>
          <w:sz w:val="24"/>
          <w:highlight w:val="none"/>
        </w:rPr>
        <w:t>▲（2）熔化主体电源和控制系统配置方案：</w:t>
      </w:r>
    </w:p>
    <w:p w14:paraId="7F034468">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1000kg炉：两个炉头共用一套熔化电源；一套控制系统。</w:t>
      </w:r>
    </w:p>
    <w:p w14:paraId="7F034469">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300kg炉：两台电弧炉各一套熔化电源、各一套控制系统。</w:t>
      </w:r>
    </w:p>
    <w:p w14:paraId="7F03446A">
      <w:pPr>
        <w:spacing w:line="500" w:lineRule="exact"/>
        <w:ind w:firstLine="520" w:firstLineChars="200"/>
        <w:rPr>
          <w:b w:val="0"/>
          <w:bCs/>
          <w:color w:val="auto"/>
          <w:spacing w:val="10"/>
          <w:sz w:val="24"/>
          <w:highlight w:val="none"/>
        </w:rPr>
      </w:pPr>
      <w:r>
        <w:rPr>
          <w:b w:val="0"/>
          <w:bCs/>
          <w:color w:val="auto"/>
          <w:spacing w:val="10"/>
          <w:sz w:val="24"/>
          <w:highlight w:val="none"/>
        </w:rPr>
        <w:t>真空自耗电弧熔炼成套设备布局应合理</w:t>
      </w:r>
      <w:r>
        <w:rPr>
          <w:rFonts w:hint="eastAsia"/>
          <w:b w:val="0"/>
          <w:bCs/>
          <w:color w:val="auto"/>
          <w:spacing w:val="10"/>
          <w:sz w:val="24"/>
          <w:highlight w:val="none"/>
        </w:rPr>
        <w:t>，适宜甲方场地并应最大程度节约地下室占地</w:t>
      </w:r>
      <w:r>
        <w:rPr>
          <w:b w:val="0"/>
          <w:bCs/>
          <w:color w:val="auto"/>
          <w:spacing w:val="10"/>
          <w:sz w:val="24"/>
          <w:highlight w:val="none"/>
        </w:rPr>
        <w:t>。真空室位于防爆墙后侧</w:t>
      </w:r>
      <w:r>
        <w:rPr>
          <w:rFonts w:hint="eastAsia"/>
          <w:b w:val="0"/>
          <w:bCs/>
          <w:color w:val="auto"/>
          <w:spacing w:val="10"/>
          <w:sz w:val="24"/>
          <w:highlight w:val="none"/>
        </w:rPr>
        <w:t>的附跨内</w:t>
      </w:r>
      <w:r>
        <w:rPr>
          <w:b w:val="0"/>
          <w:bCs/>
          <w:color w:val="auto"/>
          <w:spacing w:val="10"/>
          <w:sz w:val="24"/>
          <w:highlight w:val="none"/>
        </w:rPr>
        <w:t>，真空系统放在真空室内，水循环系统、控制系统及其它辅助设备都安装在合适的位置上。</w:t>
      </w:r>
    </w:p>
    <w:p w14:paraId="7F03446B">
      <w:pPr>
        <w:spacing w:line="500" w:lineRule="exact"/>
        <w:ind w:firstLine="520" w:firstLineChars="200"/>
        <w:rPr>
          <w:b w:val="0"/>
          <w:bCs/>
          <w:color w:val="auto"/>
          <w:spacing w:val="10"/>
          <w:sz w:val="24"/>
          <w:highlight w:val="none"/>
        </w:rPr>
      </w:pPr>
      <w:r>
        <w:rPr>
          <w:b w:val="0"/>
          <w:bCs/>
          <w:color w:val="auto"/>
          <w:spacing w:val="10"/>
          <w:sz w:val="24"/>
          <w:highlight w:val="none"/>
        </w:rPr>
        <w:t>真空自耗电弧熔炼成套设备应包括：</w:t>
      </w:r>
    </w:p>
    <w:p w14:paraId="7F03446C">
      <w:pPr>
        <w:numPr>
          <w:ilvl w:val="0"/>
          <w:numId w:val="1"/>
        </w:numPr>
        <w:spacing w:line="500" w:lineRule="exact"/>
        <w:rPr>
          <w:b w:val="0"/>
          <w:bCs/>
          <w:color w:val="auto"/>
          <w:spacing w:val="10"/>
          <w:sz w:val="24"/>
          <w:highlight w:val="none"/>
        </w:rPr>
      </w:pPr>
      <w:r>
        <w:rPr>
          <w:b w:val="0"/>
          <w:bCs/>
          <w:color w:val="auto"/>
          <w:spacing w:val="10"/>
          <w:sz w:val="24"/>
          <w:highlight w:val="none"/>
        </w:rPr>
        <w:t>炉头（含动密封）、炉头支架及其液压升降系统</w:t>
      </w:r>
    </w:p>
    <w:p w14:paraId="7F03446D">
      <w:pPr>
        <w:numPr>
          <w:ilvl w:val="0"/>
          <w:numId w:val="1"/>
        </w:numPr>
        <w:spacing w:line="500" w:lineRule="exact"/>
        <w:rPr>
          <w:b w:val="0"/>
          <w:bCs/>
          <w:color w:val="auto"/>
          <w:spacing w:val="10"/>
          <w:sz w:val="24"/>
          <w:highlight w:val="none"/>
        </w:rPr>
      </w:pPr>
      <w:r>
        <w:rPr>
          <w:b w:val="0"/>
          <w:bCs/>
          <w:color w:val="auto"/>
          <w:kern w:val="0"/>
          <w:sz w:val="24"/>
          <w:highlight w:val="none"/>
        </w:rPr>
        <w:t>结晶器、冷却水</w:t>
      </w:r>
      <w:r>
        <w:rPr>
          <w:rFonts w:hint="eastAsia"/>
          <w:b w:val="0"/>
          <w:bCs/>
          <w:color w:val="auto"/>
          <w:kern w:val="0"/>
          <w:sz w:val="24"/>
          <w:highlight w:val="none"/>
        </w:rPr>
        <w:t>系统</w:t>
      </w:r>
      <w:r>
        <w:rPr>
          <w:b w:val="0"/>
          <w:bCs/>
          <w:color w:val="auto"/>
          <w:kern w:val="0"/>
          <w:sz w:val="24"/>
          <w:highlight w:val="none"/>
        </w:rPr>
        <w:t>、应急水系统</w:t>
      </w:r>
      <w:r>
        <w:rPr>
          <w:rFonts w:hint="eastAsia"/>
          <w:b w:val="0"/>
          <w:bCs/>
          <w:color w:val="auto"/>
          <w:spacing w:val="10"/>
          <w:sz w:val="24"/>
          <w:highlight w:val="none"/>
        </w:rPr>
        <w:t>（内循环+盘管+外冷却塔，以最终设计为准）</w:t>
      </w:r>
    </w:p>
    <w:p w14:paraId="7F03446E">
      <w:pPr>
        <w:numPr>
          <w:ilvl w:val="0"/>
          <w:numId w:val="1"/>
        </w:numPr>
        <w:spacing w:line="500" w:lineRule="exact"/>
        <w:rPr>
          <w:b w:val="0"/>
          <w:bCs/>
          <w:color w:val="auto"/>
          <w:spacing w:val="10"/>
          <w:sz w:val="24"/>
          <w:highlight w:val="none"/>
        </w:rPr>
      </w:pPr>
      <w:r>
        <w:rPr>
          <w:b w:val="0"/>
          <w:bCs/>
          <w:color w:val="auto"/>
          <w:kern w:val="0"/>
          <w:sz w:val="24"/>
          <w:highlight w:val="none"/>
        </w:rPr>
        <w:t>电极杆及其驱动系统</w:t>
      </w:r>
    </w:p>
    <w:p w14:paraId="7F03446F">
      <w:pPr>
        <w:numPr>
          <w:ilvl w:val="0"/>
          <w:numId w:val="1"/>
        </w:numPr>
        <w:spacing w:line="500" w:lineRule="exact"/>
        <w:rPr>
          <w:b w:val="0"/>
          <w:bCs/>
          <w:color w:val="auto"/>
          <w:spacing w:val="10"/>
          <w:sz w:val="24"/>
          <w:highlight w:val="none"/>
        </w:rPr>
      </w:pPr>
      <w:r>
        <w:rPr>
          <w:b w:val="0"/>
          <w:bCs/>
          <w:color w:val="auto"/>
          <w:kern w:val="0"/>
          <w:sz w:val="24"/>
          <w:highlight w:val="none"/>
        </w:rPr>
        <w:t>抽真空系统</w:t>
      </w:r>
    </w:p>
    <w:p w14:paraId="7F034470">
      <w:pPr>
        <w:numPr>
          <w:ilvl w:val="0"/>
          <w:numId w:val="1"/>
        </w:numPr>
        <w:spacing w:line="500" w:lineRule="exact"/>
        <w:rPr>
          <w:b w:val="0"/>
          <w:bCs/>
          <w:color w:val="auto"/>
          <w:spacing w:val="10"/>
          <w:sz w:val="24"/>
          <w:highlight w:val="none"/>
        </w:rPr>
      </w:pPr>
      <w:r>
        <w:rPr>
          <w:b w:val="0"/>
          <w:bCs/>
          <w:color w:val="auto"/>
          <w:kern w:val="0"/>
          <w:sz w:val="24"/>
          <w:highlight w:val="none"/>
        </w:rPr>
        <w:t>熔炼电源及供电电路系统</w:t>
      </w:r>
    </w:p>
    <w:p w14:paraId="7F034471">
      <w:pPr>
        <w:numPr>
          <w:ilvl w:val="0"/>
          <w:numId w:val="1"/>
        </w:numPr>
        <w:spacing w:line="500" w:lineRule="exact"/>
        <w:rPr>
          <w:b w:val="0"/>
          <w:bCs/>
          <w:color w:val="auto"/>
          <w:spacing w:val="10"/>
          <w:sz w:val="24"/>
          <w:highlight w:val="none"/>
        </w:rPr>
      </w:pPr>
      <w:r>
        <w:rPr>
          <w:b w:val="0"/>
          <w:bCs/>
          <w:color w:val="auto"/>
          <w:kern w:val="0"/>
          <w:sz w:val="24"/>
          <w:highlight w:val="none"/>
        </w:rPr>
        <w:t>稳弧搅拌系统</w:t>
      </w:r>
    </w:p>
    <w:p w14:paraId="7F034472">
      <w:pPr>
        <w:numPr>
          <w:ilvl w:val="0"/>
          <w:numId w:val="1"/>
        </w:numPr>
        <w:spacing w:line="500" w:lineRule="exact"/>
        <w:rPr>
          <w:b w:val="0"/>
          <w:bCs/>
          <w:color w:val="auto"/>
          <w:spacing w:val="10"/>
          <w:sz w:val="24"/>
          <w:highlight w:val="none"/>
        </w:rPr>
      </w:pPr>
      <w:r>
        <w:rPr>
          <w:b w:val="0"/>
          <w:bCs/>
          <w:color w:val="auto"/>
          <w:kern w:val="0"/>
          <w:sz w:val="24"/>
          <w:highlight w:val="none"/>
        </w:rPr>
        <w:t>高精度称重系统</w:t>
      </w:r>
    </w:p>
    <w:p w14:paraId="7F034473">
      <w:pPr>
        <w:numPr>
          <w:ilvl w:val="0"/>
          <w:numId w:val="1"/>
        </w:numPr>
        <w:spacing w:line="500" w:lineRule="exact"/>
        <w:rPr>
          <w:b w:val="0"/>
          <w:bCs/>
          <w:color w:val="auto"/>
          <w:spacing w:val="10"/>
          <w:sz w:val="24"/>
          <w:highlight w:val="none"/>
        </w:rPr>
      </w:pPr>
      <w:r>
        <w:rPr>
          <w:b w:val="0"/>
          <w:bCs/>
          <w:color w:val="auto"/>
          <w:kern w:val="0"/>
          <w:sz w:val="24"/>
          <w:highlight w:val="none"/>
        </w:rPr>
        <w:t>摄像成像系统</w:t>
      </w:r>
    </w:p>
    <w:p w14:paraId="7F034474">
      <w:pPr>
        <w:numPr>
          <w:ilvl w:val="0"/>
          <w:numId w:val="1"/>
        </w:numPr>
        <w:spacing w:line="500" w:lineRule="exact"/>
        <w:rPr>
          <w:b w:val="0"/>
          <w:bCs/>
          <w:color w:val="auto"/>
          <w:spacing w:val="10"/>
          <w:sz w:val="24"/>
          <w:highlight w:val="none"/>
        </w:rPr>
      </w:pPr>
      <w:r>
        <w:rPr>
          <w:b w:val="0"/>
          <w:bCs/>
          <w:color w:val="auto"/>
          <w:kern w:val="0"/>
          <w:sz w:val="24"/>
          <w:highlight w:val="none"/>
        </w:rPr>
        <w:t>X-Y调节系统</w:t>
      </w:r>
    </w:p>
    <w:p w14:paraId="7F034475">
      <w:pPr>
        <w:numPr>
          <w:ilvl w:val="0"/>
          <w:numId w:val="1"/>
        </w:numPr>
        <w:spacing w:line="500" w:lineRule="exact"/>
        <w:rPr>
          <w:b w:val="0"/>
          <w:bCs/>
          <w:color w:val="auto"/>
          <w:spacing w:val="10"/>
          <w:sz w:val="24"/>
          <w:highlight w:val="none"/>
        </w:rPr>
      </w:pPr>
      <w:r>
        <w:rPr>
          <w:b w:val="0"/>
          <w:bCs/>
          <w:color w:val="auto"/>
          <w:spacing w:val="10"/>
          <w:sz w:val="24"/>
          <w:highlight w:val="none"/>
        </w:rPr>
        <w:t>氩气</w:t>
      </w:r>
      <w:r>
        <w:rPr>
          <w:rFonts w:hint="eastAsia"/>
          <w:b w:val="0"/>
          <w:bCs/>
          <w:color w:val="auto"/>
          <w:spacing w:val="10"/>
          <w:sz w:val="24"/>
          <w:highlight w:val="none"/>
        </w:rPr>
        <w:t>、氦气</w:t>
      </w:r>
      <w:r>
        <w:rPr>
          <w:b w:val="0"/>
          <w:bCs/>
          <w:color w:val="auto"/>
          <w:spacing w:val="10"/>
          <w:sz w:val="24"/>
          <w:highlight w:val="none"/>
        </w:rPr>
        <w:t>供应系统</w:t>
      </w:r>
    </w:p>
    <w:p w14:paraId="7F034476">
      <w:pPr>
        <w:numPr>
          <w:ilvl w:val="0"/>
          <w:numId w:val="1"/>
        </w:numPr>
        <w:spacing w:line="500" w:lineRule="exact"/>
        <w:rPr>
          <w:b w:val="0"/>
          <w:bCs/>
          <w:color w:val="auto"/>
          <w:spacing w:val="10"/>
          <w:sz w:val="24"/>
          <w:highlight w:val="none"/>
        </w:rPr>
      </w:pPr>
      <w:r>
        <w:rPr>
          <w:b w:val="0"/>
          <w:bCs/>
          <w:color w:val="auto"/>
          <w:spacing w:val="10"/>
          <w:sz w:val="24"/>
          <w:highlight w:val="none"/>
        </w:rPr>
        <w:t>计算机集成控制（操作）及数据信息管理系统；</w:t>
      </w:r>
    </w:p>
    <w:p w14:paraId="7F034477">
      <w:pPr>
        <w:numPr>
          <w:ilvl w:val="0"/>
          <w:numId w:val="1"/>
        </w:numPr>
        <w:spacing w:line="500" w:lineRule="exact"/>
        <w:rPr>
          <w:b w:val="0"/>
          <w:bCs/>
          <w:color w:val="auto"/>
          <w:spacing w:val="10"/>
          <w:sz w:val="24"/>
          <w:highlight w:val="none"/>
        </w:rPr>
      </w:pPr>
      <w:r>
        <w:rPr>
          <w:b w:val="0"/>
          <w:bCs/>
          <w:color w:val="auto"/>
          <w:kern w:val="0"/>
          <w:sz w:val="24"/>
          <w:highlight w:val="none"/>
        </w:rPr>
        <w:t>压缩空气供气系统</w:t>
      </w:r>
      <w:r>
        <w:rPr>
          <w:rFonts w:hint="eastAsia"/>
          <w:b w:val="0"/>
          <w:bCs/>
          <w:color w:val="auto"/>
          <w:spacing w:val="10"/>
          <w:sz w:val="24"/>
          <w:highlight w:val="none"/>
        </w:rPr>
        <w:t>（含气源，包括空压机1、干燥机1、气罐2，以最终设计为准）</w:t>
      </w:r>
    </w:p>
    <w:p w14:paraId="7F034478">
      <w:pPr>
        <w:numPr>
          <w:ilvl w:val="0"/>
          <w:numId w:val="1"/>
        </w:numPr>
        <w:spacing w:line="500" w:lineRule="exact"/>
        <w:rPr>
          <w:b w:val="0"/>
          <w:bCs/>
          <w:color w:val="auto"/>
          <w:spacing w:val="10"/>
          <w:sz w:val="24"/>
          <w:highlight w:val="none"/>
        </w:rPr>
      </w:pPr>
      <w:r>
        <w:rPr>
          <w:b w:val="0"/>
          <w:bCs/>
          <w:color w:val="auto"/>
          <w:spacing w:val="10"/>
          <w:sz w:val="24"/>
          <w:highlight w:val="none"/>
        </w:rPr>
        <w:t>各系统之间连接的管路、强弱电线路、密封部件</w:t>
      </w:r>
    </w:p>
    <w:p w14:paraId="7F034479">
      <w:pPr>
        <w:numPr>
          <w:ilvl w:val="0"/>
          <w:numId w:val="2"/>
        </w:numPr>
        <w:spacing w:line="500" w:lineRule="exact"/>
        <w:rPr>
          <w:b w:val="0"/>
          <w:bCs/>
          <w:color w:val="auto"/>
          <w:spacing w:val="10"/>
          <w:sz w:val="24"/>
          <w:highlight w:val="none"/>
        </w:rPr>
      </w:pPr>
      <w:r>
        <w:rPr>
          <w:rFonts w:hint="eastAsia"/>
          <w:b w:val="0"/>
          <w:bCs/>
          <w:color w:val="auto"/>
          <w:spacing w:val="10"/>
          <w:sz w:val="24"/>
          <w:highlight w:val="none"/>
        </w:rPr>
        <w:t>甲方</w:t>
      </w:r>
      <w:r>
        <w:rPr>
          <w:b w:val="0"/>
          <w:bCs/>
          <w:color w:val="auto"/>
          <w:spacing w:val="10"/>
          <w:sz w:val="24"/>
          <w:highlight w:val="none"/>
        </w:rPr>
        <w:t>向整流柜提供</w:t>
      </w:r>
      <w:r>
        <w:rPr>
          <w:rFonts w:hint="eastAsia"/>
          <w:b w:val="0"/>
          <w:bCs/>
          <w:color w:val="auto"/>
          <w:spacing w:val="10"/>
          <w:sz w:val="24"/>
          <w:highlight w:val="none"/>
        </w:rPr>
        <w:t>690</w:t>
      </w:r>
      <w:r>
        <w:rPr>
          <w:b w:val="0"/>
          <w:bCs/>
          <w:color w:val="auto"/>
          <w:spacing w:val="10"/>
          <w:sz w:val="24"/>
          <w:highlight w:val="none"/>
        </w:rPr>
        <w:t>V接入电源；</w:t>
      </w:r>
    </w:p>
    <w:p w14:paraId="7F03447A">
      <w:pPr>
        <w:numPr>
          <w:ilvl w:val="0"/>
          <w:numId w:val="2"/>
        </w:numPr>
        <w:spacing w:line="500" w:lineRule="exact"/>
        <w:rPr>
          <w:b w:val="0"/>
          <w:bCs/>
          <w:color w:val="auto"/>
          <w:spacing w:val="10"/>
          <w:sz w:val="24"/>
          <w:highlight w:val="none"/>
        </w:rPr>
      </w:pPr>
      <w:r>
        <w:rPr>
          <w:rFonts w:hint="eastAsia"/>
          <w:b w:val="0"/>
          <w:bCs/>
          <w:color w:val="auto"/>
          <w:spacing w:val="10"/>
          <w:sz w:val="24"/>
          <w:highlight w:val="none"/>
        </w:rPr>
        <w:t>甲方</w:t>
      </w:r>
      <w:r>
        <w:rPr>
          <w:b w:val="0"/>
          <w:bCs/>
          <w:color w:val="auto"/>
          <w:spacing w:val="10"/>
          <w:sz w:val="24"/>
          <w:highlight w:val="none"/>
        </w:rPr>
        <w:t>向设备提供380V接入动力电源；</w:t>
      </w:r>
    </w:p>
    <w:p w14:paraId="7F03447B">
      <w:pPr>
        <w:numPr>
          <w:ilvl w:val="0"/>
          <w:numId w:val="2"/>
        </w:numPr>
        <w:spacing w:line="500" w:lineRule="exact"/>
        <w:rPr>
          <w:b w:val="0"/>
          <w:bCs/>
          <w:color w:val="auto"/>
          <w:spacing w:val="10"/>
          <w:sz w:val="24"/>
          <w:highlight w:val="none"/>
        </w:rPr>
      </w:pPr>
      <w:r>
        <w:rPr>
          <w:rFonts w:hint="eastAsia"/>
          <w:b w:val="0"/>
          <w:bCs/>
          <w:color w:val="auto"/>
          <w:spacing w:val="10"/>
          <w:sz w:val="24"/>
          <w:highlight w:val="none"/>
        </w:rPr>
        <w:t>甲方</w:t>
      </w:r>
      <w:r>
        <w:rPr>
          <w:b w:val="0"/>
          <w:bCs/>
          <w:color w:val="auto"/>
          <w:spacing w:val="10"/>
          <w:sz w:val="24"/>
          <w:highlight w:val="none"/>
        </w:rPr>
        <w:t>向设备提供外部出入管道及水源</w:t>
      </w:r>
      <w:r>
        <w:rPr>
          <w:rFonts w:hint="eastAsia"/>
          <w:b w:val="0"/>
          <w:bCs/>
          <w:color w:val="auto"/>
          <w:spacing w:val="10"/>
          <w:sz w:val="24"/>
          <w:highlight w:val="none"/>
        </w:rPr>
        <w:t>；。</w:t>
      </w:r>
    </w:p>
    <w:p w14:paraId="7F03447C">
      <w:pPr>
        <w:spacing w:line="500" w:lineRule="exact"/>
        <w:ind w:firstLine="509" w:firstLineChars="196"/>
        <w:rPr>
          <w:b w:val="0"/>
          <w:bCs/>
          <w:color w:val="auto"/>
          <w:spacing w:val="10"/>
          <w:sz w:val="24"/>
          <w:highlight w:val="none"/>
        </w:rPr>
      </w:pPr>
      <w:r>
        <w:rPr>
          <w:b w:val="0"/>
          <w:bCs/>
          <w:color w:val="auto"/>
          <w:spacing w:val="10"/>
          <w:sz w:val="24"/>
          <w:highlight w:val="none"/>
        </w:rPr>
        <w:t>工作条件</w:t>
      </w:r>
    </w:p>
    <w:p w14:paraId="7F03447D">
      <w:pPr>
        <w:spacing w:line="500" w:lineRule="exact"/>
        <w:ind w:firstLine="1040" w:firstLineChars="400"/>
        <w:rPr>
          <w:b w:val="0"/>
          <w:bCs/>
          <w:color w:val="auto"/>
          <w:spacing w:val="10"/>
          <w:sz w:val="24"/>
          <w:highlight w:val="none"/>
        </w:rPr>
      </w:pPr>
      <w:r>
        <w:rPr>
          <w:b w:val="0"/>
          <w:bCs/>
          <w:color w:val="auto"/>
          <w:spacing w:val="10"/>
          <w:sz w:val="24"/>
          <w:highlight w:val="none"/>
        </w:rPr>
        <w:t>环境温度：2</w:t>
      </w:r>
      <w:r>
        <w:rPr>
          <w:rFonts w:hint="eastAsia" w:ascii="宋体" w:hAnsi="宋体" w:cs="宋体"/>
          <w:b w:val="0"/>
          <w:bCs/>
          <w:color w:val="auto"/>
          <w:spacing w:val="10"/>
          <w:sz w:val="24"/>
          <w:highlight w:val="none"/>
        </w:rPr>
        <w:t>℃</w:t>
      </w:r>
      <w:r>
        <w:rPr>
          <w:b w:val="0"/>
          <w:bCs/>
          <w:color w:val="auto"/>
          <w:spacing w:val="10"/>
          <w:sz w:val="24"/>
          <w:highlight w:val="none"/>
        </w:rPr>
        <w:t>～45</w:t>
      </w:r>
      <w:r>
        <w:rPr>
          <w:rFonts w:hint="eastAsia" w:ascii="宋体" w:hAnsi="宋体" w:cs="宋体"/>
          <w:b w:val="0"/>
          <w:bCs/>
          <w:color w:val="auto"/>
          <w:spacing w:val="10"/>
          <w:sz w:val="24"/>
          <w:highlight w:val="none"/>
        </w:rPr>
        <w:t>℃</w:t>
      </w:r>
      <w:r>
        <w:rPr>
          <w:b w:val="0"/>
          <w:bCs/>
          <w:color w:val="auto"/>
          <w:spacing w:val="10"/>
          <w:sz w:val="24"/>
          <w:highlight w:val="none"/>
        </w:rPr>
        <w:t>；</w:t>
      </w:r>
    </w:p>
    <w:p w14:paraId="7F03447E">
      <w:pPr>
        <w:spacing w:line="500" w:lineRule="exact"/>
        <w:ind w:firstLine="1040" w:firstLineChars="400"/>
        <w:rPr>
          <w:b w:val="0"/>
          <w:bCs/>
          <w:color w:val="auto"/>
          <w:spacing w:val="10"/>
          <w:sz w:val="24"/>
          <w:highlight w:val="none"/>
        </w:rPr>
      </w:pPr>
      <w:r>
        <w:rPr>
          <w:b w:val="0"/>
          <w:bCs/>
          <w:color w:val="auto"/>
          <w:spacing w:val="10"/>
          <w:sz w:val="24"/>
          <w:highlight w:val="none"/>
        </w:rPr>
        <w:t>最大湿度：50%（40°C）；90%（20°C）</w:t>
      </w:r>
    </w:p>
    <w:p w14:paraId="7F03447F">
      <w:pPr>
        <w:spacing w:line="500" w:lineRule="exact"/>
        <w:ind w:firstLine="1040" w:firstLineChars="400"/>
        <w:rPr>
          <w:b w:val="0"/>
          <w:bCs/>
          <w:color w:val="auto"/>
          <w:spacing w:val="10"/>
          <w:sz w:val="24"/>
          <w:highlight w:val="none"/>
        </w:rPr>
      </w:pPr>
      <w:r>
        <w:rPr>
          <w:b w:val="0"/>
          <w:bCs/>
          <w:color w:val="auto"/>
          <w:spacing w:val="10"/>
          <w:sz w:val="24"/>
          <w:highlight w:val="none"/>
        </w:rPr>
        <w:t>电源：三相，380V/50Hz；</w:t>
      </w:r>
    </w:p>
    <w:p w14:paraId="7F034480">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1000kg炉：坩埚内径Φ220～Φ480mm；</w:t>
      </w:r>
    </w:p>
    <w:p w14:paraId="7F034481">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1000kg炉：坩埚最大内长度2450mm；</w:t>
      </w:r>
    </w:p>
    <w:p w14:paraId="7F034482">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1000kg炉：最大铸锭重量1250kg。</w:t>
      </w:r>
    </w:p>
    <w:p w14:paraId="7F034483">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300kg炉：坩埚内径Φ120～Φ300mm；</w:t>
      </w:r>
    </w:p>
    <w:p w14:paraId="7F034484">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300kg炉：坩埚最大内长度1600mm；</w:t>
      </w:r>
    </w:p>
    <w:p w14:paraId="7F034485">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300kg炉：最大铸锭重量：370kg。</w:t>
      </w:r>
    </w:p>
    <w:p w14:paraId="7F034486">
      <w:pPr>
        <w:spacing w:line="500" w:lineRule="exact"/>
        <w:rPr>
          <w:b w:val="0"/>
          <w:bCs/>
          <w:color w:val="auto"/>
          <w:spacing w:val="10"/>
          <w:sz w:val="24"/>
          <w:highlight w:val="none"/>
        </w:rPr>
      </w:pPr>
      <w:r>
        <w:rPr>
          <w:b w:val="0"/>
          <w:bCs/>
          <w:color w:val="auto"/>
          <w:spacing w:val="10"/>
          <w:sz w:val="24"/>
          <w:highlight w:val="none"/>
        </w:rPr>
        <w:t>6、设备各组成部分的功能与配置要求</w:t>
      </w:r>
    </w:p>
    <w:p w14:paraId="7F034487">
      <w:pPr>
        <w:spacing w:line="500" w:lineRule="exact"/>
        <w:rPr>
          <w:b w:val="0"/>
          <w:bCs/>
          <w:color w:val="auto"/>
          <w:spacing w:val="10"/>
          <w:sz w:val="24"/>
          <w:highlight w:val="none"/>
        </w:rPr>
      </w:pPr>
      <w:r>
        <w:rPr>
          <w:b w:val="0"/>
          <w:bCs/>
          <w:color w:val="auto"/>
          <w:spacing w:val="10"/>
          <w:sz w:val="24"/>
          <w:highlight w:val="none"/>
        </w:rPr>
        <w:t>6.1 炉头（含动密封）、炉头支架及其液压升降系统</w:t>
      </w:r>
    </w:p>
    <w:p w14:paraId="7F034488">
      <w:pPr>
        <w:spacing w:line="500" w:lineRule="exact"/>
        <w:rPr>
          <w:b w:val="0"/>
          <w:bCs/>
          <w:color w:val="auto"/>
          <w:spacing w:val="10"/>
          <w:sz w:val="24"/>
          <w:highlight w:val="none"/>
        </w:rPr>
      </w:pPr>
      <w:r>
        <w:rPr>
          <w:b w:val="0"/>
          <w:bCs/>
          <w:color w:val="auto"/>
          <w:spacing w:val="10"/>
          <w:sz w:val="24"/>
          <w:highlight w:val="none"/>
        </w:rPr>
        <w:t>6.1.1 炉头及动密封</w:t>
      </w:r>
    </w:p>
    <w:p w14:paraId="7F034489">
      <w:pPr>
        <w:spacing w:line="500" w:lineRule="exact"/>
        <w:ind w:firstLine="520" w:firstLineChars="200"/>
        <w:rPr>
          <w:b w:val="0"/>
          <w:bCs/>
          <w:color w:val="auto"/>
          <w:spacing w:val="10"/>
          <w:sz w:val="24"/>
          <w:highlight w:val="none"/>
        </w:rPr>
      </w:pPr>
      <w:r>
        <w:rPr>
          <w:b w:val="0"/>
          <w:bCs/>
          <w:color w:val="auto"/>
          <w:spacing w:val="10"/>
          <w:sz w:val="24"/>
          <w:highlight w:val="none"/>
        </w:rPr>
        <w:t>炉头采用双层水冷结构，内层</w:t>
      </w:r>
      <w:r>
        <w:rPr>
          <w:rFonts w:hint="eastAsia"/>
          <w:b w:val="0"/>
          <w:bCs/>
          <w:color w:val="auto"/>
          <w:spacing w:val="10"/>
          <w:sz w:val="24"/>
          <w:highlight w:val="none"/>
        </w:rPr>
        <w:t>为不锈钢，</w:t>
      </w:r>
      <w:r>
        <w:rPr>
          <w:b w:val="0"/>
          <w:bCs/>
          <w:color w:val="auto"/>
          <w:spacing w:val="10"/>
          <w:sz w:val="24"/>
          <w:highlight w:val="none"/>
        </w:rPr>
        <w:t>外层</w:t>
      </w:r>
      <w:r>
        <w:rPr>
          <w:rFonts w:hint="eastAsia"/>
          <w:b w:val="0"/>
          <w:bCs/>
          <w:color w:val="auto"/>
          <w:spacing w:val="10"/>
          <w:sz w:val="24"/>
          <w:highlight w:val="none"/>
        </w:rPr>
        <w:t>为碳钢</w:t>
      </w:r>
      <w:r>
        <w:rPr>
          <w:b w:val="0"/>
          <w:bCs/>
          <w:color w:val="auto"/>
          <w:spacing w:val="10"/>
          <w:sz w:val="24"/>
          <w:highlight w:val="none"/>
        </w:rPr>
        <w:t>，炉室的上下法兰采用碳钢或更优质材料，底部导电法兰为铜法兰。</w:t>
      </w:r>
      <w:r>
        <w:rPr>
          <w:rFonts w:hint="eastAsia"/>
          <w:b w:val="0"/>
          <w:bCs/>
          <w:color w:val="auto"/>
          <w:spacing w:val="10"/>
          <w:sz w:val="24"/>
          <w:highlight w:val="none"/>
        </w:rPr>
        <w:t>炉头内部不得有死角。</w:t>
      </w:r>
      <w:r>
        <w:rPr>
          <w:b w:val="0"/>
          <w:bCs/>
          <w:color w:val="auto"/>
          <w:spacing w:val="10"/>
          <w:sz w:val="24"/>
          <w:highlight w:val="none"/>
        </w:rPr>
        <w:t>炉室通过一侧管与真空系统连接，侧管端部有翻板式泄爆口。</w:t>
      </w:r>
    </w:p>
    <w:p w14:paraId="7F03448A">
      <w:pPr>
        <w:spacing w:line="500" w:lineRule="exact"/>
        <w:ind w:firstLine="520" w:firstLineChars="200"/>
        <w:rPr>
          <w:b w:val="0"/>
          <w:bCs/>
          <w:color w:val="auto"/>
          <w:spacing w:val="10"/>
          <w:sz w:val="24"/>
          <w:highlight w:val="none"/>
        </w:rPr>
      </w:pPr>
      <w:r>
        <w:rPr>
          <w:b w:val="0"/>
          <w:bCs/>
          <w:color w:val="auto"/>
          <w:spacing w:val="10"/>
          <w:sz w:val="24"/>
          <w:highlight w:val="none"/>
        </w:rPr>
        <w:t>炉头顶部有动密封，电极杆从动密封内穿过，能够配合X-Y调节实现电极对中。</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3"/>
        <w:gridCol w:w="3225"/>
      </w:tblGrid>
      <w:tr w14:paraId="7F03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13" w:type="dxa"/>
            <w:vAlign w:val="center"/>
          </w:tcPr>
          <w:p w14:paraId="7F03448B">
            <w:pPr>
              <w:spacing w:line="0" w:lineRule="atLeast"/>
              <w:jc w:val="center"/>
              <w:rPr>
                <w:b w:val="0"/>
                <w:bCs/>
                <w:color w:val="auto"/>
                <w:spacing w:val="10"/>
                <w:sz w:val="24"/>
                <w:highlight w:val="none"/>
              </w:rPr>
            </w:pPr>
            <w:r>
              <w:rPr>
                <w:b w:val="0"/>
                <w:bCs/>
                <w:color w:val="auto"/>
                <w:spacing w:val="10"/>
                <w:sz w:val="24"/>
                <w:highlight w:val="none"/>
              </w:rPr>
              <w:t>技术要求</w:t>
            </w:r>
          </w:p>
        </w:tc>
        <w:tc>
          <w:tcPr>
            <w:tcW w:w="3225" w:type="dxa"/>
            <w:vAlign w:val="center"/>
          </w:tcPr>
          <w:p w14:paraId="7F03448C">
            <w:pPr>
              <w:spacing w:line="0" w:lineRule="atLeast"/>
              <w:jc w:val="center"/>
              <w:rPr>
                <w:b w:val="0"/>
                <w:bCs/>
                <w:color w:val="auto"/>
                <w:spacing w:val="10"/>
                <w:sz w:val="24"/>
                <w:highlight w:val="none"/>
              </w:rPr>
            </w:pPr>
            <w:r>
              <w:rPr>
                <w:b w:val="0"/>
                <w:bCs/>
                <w:color w:val="auto"/>
                <w:spacing w:val="10"/>
                <w:sz w:val="24"/>
                <w:highlight w:val="none"/>
              </w:rPr>
              <w:t>配置要求</w:t>
            </w:r>
          </w:p>
        </w:tc>
      </w:tr>
      <w:tr w14:paraId="7F03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13" w:type="dxa"/>
            <w:vAlign w:val="center"/>
          </w:tcPr>
          <w:p w14:paraId="7F03448E">
            <w:pPr>
              <w:spacing w:line="0" w:lineRule="atLeast"/>
              <w:rPr>
                <w:b w:val="0"/>
                <w:bCs/>
                <w:color w:val="auto"/>
                <w:spacing w:val="10"/>
                <w:sz w:val="24"/>
                <w:highlight w:val="none"/>
              </w:rPr>
            </w:pPr>
            <w:r>
              <w:rPr>
                <w:rFonts w:hint="eastAsia"/>
                <w:b w:val="0"/>
                <w:bCs/>
                <w:color w:val="auto"/>
                <w:spacing w:val="10"/>
                <w:sz w:val="24"/>
                <w:highlight w:val="none"/>
              </w:rPr>
              <w:t>炉头有效空间高度</w:t>
            </w:r>
            <w:r>
              <w:rPr>
                <w:b w:val="0"/>
                <w:bCs/>
                <w:color w:val="auto"/>
                <w:spacing w:val="10"/>
                <w:sz w:val="24"/>
                <w:highlight w:val="none"/>
              </w:rPr>
              <w:t>（气动夹头上限位时，气动夹头下端面至炉头下端面导电法兰面的距离）</w:t>
            </w:r>
            <w:r>
              <w:rPr>
                <w:rFonts w:hint="eastAsia"/>
                <w:b w:val="0"/>
                <w:bCs/>
                <w:color w:val="auto"/>
                <w:spacing w:val="10"/>
                <w:sz w:val="24"/>
                <w:highlight w:val="none"/>
              </w:rPr>
              <w:t>：见附录1、2，具体由投标方提供。</w:t>
            </w:r>
          </w:p>
        </w:tc>
        <w:tc>
          <w:tcPr>
            <w:tcW w:w="3225" w:type="dxa"/>
            <w:vAlign w:val="center"/>
          </w:tcPr>
          <w:p w14:paraId="7F03448F">
            <w:pPr>
              <w:spacing w:line="0" w:lineRule="atLeast"/>
              <w:ind w:firstLine="520" w:firstLineChars="200"/>
              <w:jc w:val="left"/>
              <w:rPr>
                <w:b w:val="0"/>
                <w:bCs/>
                <w:color w:val="auto"/>
                <w:spacing w:val="10"/>
                <w:sz w:val="24"/>
                <w:highlight w:val="none"/>
              </w:rPr>
            </w:pPr>
            <w:r>
              <w:rPr>
                <w:b w:val="0"/>
                <w:bCs/>
                <w:color w:val="auto"/>
                <w:spacing w:val="10"/>
                <w:sz w:val="24"/>
                <w:highlight w:val="none"/>
              </w:rPr>
              <w:t>炉头及动密封采用优质材料制造</w:t>
            </w:r>
            <w:r>
              <w:rPr>
                <w:rFonts w:hint="eastAsia"/>
                <w:b w:val="0"/>
                <w:bCs/>
                <w:color w:val="auto"/>
                <w:spacing w:val="10"/>
                <w:sz w:val="24"/>
                <w:highlight w:val="none"/>
              </w:rPr>
              <w:t>。</w:t>
            </w:r>
          </w:p>
          <w:p w14:paraId="7F034490">
            <w:pPr>
              <w:spacing w:line="0" w:lineRule="atLeast"/>
              <w:ind w:firstLine="520" w:firstLineChars="200"/>
              <w:jc w:val="left"/>
              <w:rPr>
                <w:b w:val="0"/>
                <w:bCs/>
                <w:color w:val="auto"/>
                <w:spacing w:val="10"/>
                <w:sz w:val="24"/>
                <w:highlight w:val="none"/>
              </w:rPr>
            </w:pPr>
            <w:r>
              <w:rPr>
                <w:b w:val="0"/>
                <w:bCs/>
                <w:color w:val="auto"/>
                <w:spacing w:val="10"/>
                <w:sz w:val="24"/>
                <w:highlight w:val="none"/>
              </w:rPr>
              <w:t>动密封维护便捷</w:t>
            </w:r>
            <w:r>
              <w:rPr>
                <w:rFonts w:hint="eastAsia"/>
                <w:b w:val="0"/>
                <w:bCs/>
                <w:color w:val="auto"/>
                <w:spacing w:val="10"/>
                <w:sz w:val="24"/>
                <w:highlight w:val="none"/>
              </w:rPr>
              <w:t>。</w:t>
            </w:r>
          </w:p>
        </w:tc>
      </w:tr>
    </w:tbl>
    <w:p w14:paraId="7F034492">
      <w:pPr>
        <w:spacing w:line="500" w:lineRule="exact"/>
        <w:rPr>
          <w:b w:val="0"/>
          <w:bCs/>
          <w:color w:val="auto"/>
          <w:spacing w:val="10"/>
          <w:sz w:val="24"/>
          <w:highlight w:val="none"/>
        </w:rPr>
      </w:pPr>
      <w:r>
        <w:rPr>
          <w:b w:val="0"/>
          <w:bCs/>
          <w:color w:val="auto"/>
          <w:spacing w:val="10"/>
          <w:sz w:val="24"/>
          <w:highlight w:val="none"/>
        </w:rPr>
        <w:t>6.1.2 炉头支架</w:t>
      </w:r>
      <w:r>
        <w:rPr>
          <w:rFonts w:hint="eastAsia"/>
          <w:b w:val="0"/>
          <w:bCs/>
          <w:color w:val="auto"/>
          <w:spacing w:val="10"/>
          <w:sz w:val="24"/>
          <w:highlight w:val="none"/>
        </w:rPr>
        <w:t>（龙门式）</w:t>
      </w:r>
      <w:r>
        <w:rPr>
          <w:b w:val="0"/>
          <w:bCs/>
          <w:color w:val="auto"/>
          <w:spacing w:val="10"/>
          <w:sz w:val="24"/>
          <w:highlight w:val="none"/>
        </w:rPr>
        <w:t>；炉头沿支架轨道升降系统；炉头沿圆弧轨道移动驱动系统</w:t>
      </w:r>
    </w:p>
    <w:p w14:paraId="7F034493">
      <w:pPr>
        <w:spacing w:line="500" w:lineRule="exact"/>
        <w:ind w:firstLine="520" w:firstLineChars="200"/>
        <w:rPr>
          <w:b w:val="0"/>
          <w:bCs/>
          <w:color w:val="auto"/>
          <w:spacing w:val="10"/>
          <w:sz w:val="24"/>
          <w:highlight w:val="none"/>
        </w:rPr>
      </w:pPr>
      <w:r>
        <w:rPr>
          <w:b w:val="0"/>
          <w:bCs/>
          <w:color w:val="auto"/>
          <w:spacing w:val="10"/>
          <w:sz w:val="24"/>
          <w:highlight w:val="none"/>
        </w:rPr>
        <w:t>炉头在支架上沿垂直于水平面方向轨道升降，通过液压/电气/机械系统的手动控制实现。支架可带动炉头沿地面圆弧轨道旋转移动至坩埚正上方或从坩埚正上方移开，以便出装炉，旋转移动由电气/机械系统的手动控制实现。</w:t>
      </w:r>
    </w:p>
    <w:p w14:paraId="7F034494">
      <w:pPr>
        <w:spacing w:line="500" w:lineRule="exact"/>
        <w:ind w:firstLine="520" w:firstLineChars="200"/>
        <w:rPr>
          <w:b w:val="0"/>
          <w:bCs/>
          <w:color w:val="auto"/>
          <w:spacing w:val="10"/>
          <w:sz w:val="24"/>
          <w:highlight w:val="none"/>
        </w:rPr>
      </w:pPr>
      <w:r>
        <w:rPr>
          <w:b w:val="0"/>
          <w:bCs/>
          <w:color w:val="auto"/>
          <w:spacing w:val="10"/>
          <w:sz w:val="24"/>
          <w:highlight w:val="none"/>
        </w:rPr>
        <w:t>实现升降、旋转移动手动控制的操作装置应安装在炉头支架上，以便于使用。</w:t>
      </w:r>
    </w:p>
    <w:p w14:paraId="7F034495">
      <w:pPr>
        <w:spacing w:line="500" w:lineRule="exact"/>
        <w:ind w:firstLine="520" w:firstLineChars="200"/>
        <w:rPr>
          <w:b w:val="0"/>
          <w:bCs/>
          <w:color w:val="auto"/>
          <w:spacing w:val="10"/>
          <w:sz w:val="24"/>
          <w:highlight w:val="none"/>
        </w:rPr>
      </w:pPr>
      <w:r>
        <w:rPr>
          <w:b w:val="0"/>
          <w:bCs/>
          <w:color w:val="auto"/>
          <w:spacing w:val="10"/>
          <w:sz w:val="24"/>
          <w:highlight w:val="none"/>
        </w:rPr>
        <w:t>炉头支架应确保在炉头升降过程中，电极都能够相对炉头保持在同一垂直位置上。电极与坩埚的间隙在炉头抬升至上限位置时可以很容易进行调整，并且在炉头下降至下限或触底位置时，也不会发生由炉子结构弯曲造成的电极跑偏。</w:t>
      </w:r>
    </w:p>
    <w:p w14:paraId="7F034496">
      <w:pPr>
        <w:spacing w:line="500" w:lineRule="exact"/>
        <w:ind w:firstLine="520" w:firstLineChars="200"/>
        <w:rPr>
          <w:b w:val="0"/>
          <w:bCs/>
          <w:color w:val="auto"/>
          <w:spacing w:val="10"/>
          <w:sz w:val="24"/>
          <w:highlight w:val="none"/>
          <w:u w:val="double"/>
        </w:rPr>
      </w:pPr>
      <w:r>
        <w:rPr>
          <w:b w:val="0"/>
          <w:bCs/>
          <w:color w:val="auto"/>
          <w:spacing w:val="10"/>
          <w:sz w:val="24"/>
          <w:highlight w:val="none"/>
        </w:rPr>
        <w:t>炉头支架应确保在炉头沿圆弧轨道离开、回到工作位置后，仍能够与坩埚有很好的垂直对应关系。</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3"/>
        <w:gridCol w:w="1463"/>
        <w:gridCol w:w="3012"/>
      </w:tblGrid>
      <w:tr w14:paraId="7F03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3" w:type="dxa"/>
            <w:vAlign w:val="center"/>
          </w:tcPr>
          <w:p w14:paraId="7F034497">
            <w:pPr>
              <w:jc w:val="center"/>
              <w:rPr>
                <w:b w:val="0"/>
                <w:bCs/>
                <w:color w:val="auto"/>
                <w:spacing w:val="10"/>
                <w:sz w:val="24"/>
                <w:highlight w:val="none"/>
              </w:rPr>
            </w:pPr>
            <w:r>
              <w:rPr>
                <w:b w:val="0"/>
                <w:bCs/>
                <w:color w:val="auto"/>
                <w:spacing w:val="10"/>
                <w:sz w:val="24"/>
                <w:highlight w:val="none"/>
              </w:rPr>
              <w:t>技术要求</w:t>
            </w:r>
          </w:p>
        </w:tc>
        <w:tc>
          <w:tcPr>
            <w:tcW w:w="4475" w:type="dxa"/>
            <w:gridSpan w:val="2"/>
            <w:vAlign w:val="center"/>
          </w:tcPr>
          <w:p w14:paraId="7F034498">
            <w:pPr>
              <w:jc w:val="center"/>
              <w:rPr>
                <w:b w:val="0"/>
                <w:bCs/>
                <w:color w:val="auto"/>
                <w:spacing w:val="10"/>
                <w:sz w:val="24"/>
                <w:highlight w:val="none"/>
              </w:rPr>
            </w:pPr>
            <w:r>
              <w:rPr>
                <w:b w:val="0"/>
                <w:bCs/>
                <w:color w:val="auto"/>
                <w:spacing w:val="10"/>
                <w:sz w:val="24"/>
                <w:highlight w:val="none"/>
              </w:rPr>
              <w:t>配置要求</w:t>
            </w:r>
          </w:p>
        </w:tc>
      </w:tr>
      <w:tr w14:paraId="7F03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3" w:type="dxa"/>
            <w:vMerge w:val="restart"/>
            <w:vAlign w:val="center"/>
          </w:tcPr>
          <w:p w14:paraId="7F03449A">
            <w:pPr>
              <w:numPr>
                <w:ilvl w:val="0"/>
                <w:numId w:val="3"/>
              </w:numPr>
              <w:ind w:left="0" w:firstLine="0"/>
              <w:jc w:val="left"/>
              <w:rPr>
                <w:b w:val="0"/>
                <w:bCs/>
                <w:color w:val="auto"/>
                <w:spacing w:val="10"/>
                <w:sz w:val="24"/>
                <w:highlight w:val="none"/>
              </w:rPr>
            </w:pPr>
            <w:r>
              <w:rPr>
                <w:b w:val="0"/>
                <w:bCs/>
                <w:color w:val="auto"/>
                <w:spacing w:val="10"/>
                <w:sz w:val="24"/>
                <w:highlight w:val="none"/>
              </w:rPr>
              <w:t>炉头支架结构适宜</w:t>
            </w:r>
            <w:r>
              <w:rPr>
                <w:rFonts w:hint="eastAsia"/>
                <w:b w:val="0"/>
                <w:bCs/>
                <w:color w:val="auto"/>
                <w:spacing w:val="10"/>
                <w:sz w:val="24"/>
                <w:highlight w:val="none"/>
              </w:rPr>
              <w:t>。</w:t>
            </w:r>
          </w:p>
          <w:p w14:paraId="7F03449B">
            <w:pPr>
              <w:numPr>
                <w:ilvl w:val="0"/>
                <w:numId w:val="3"/>
              </w:numPr>
              <w:ind w:left="0" w:firstLine="0"/>
              <w:jc w:val="left"/>
              <w:rPr>
                <w:b w:val="0"/>
                <w:bCs/>
                <w:color w:val="auto"/>
                <w:spacing w:val="10"/>
                <w:sz w:val="24"/>
                <w:highlight w:val="none"/>
              </w:rPr>
            </w:pPr>
            <w:r>
              <w:rPr>
                <w:b w:val="0"/>
                <w:bCs/>
                <w:color w:val="auto"/>
                <w:spacing w:val="10"/>
                <w:sz w:val="24"/>
                <w:highlight w:val="none"/>
              </w:rPr>
              <w:t>液压缸的结构为</w:t>
            </w:r>
            <w:r>
              <w:rPr>
                <w:rFonts w:hint="eastAsia"/>
                <w:b w:val="0"/>
                <w:bCs/>
                <w:color w:val="auto"/>
                <w:spacing w:val="10"/>
                <w:sz w:val="24"/>
                <w:highlight w:val="none"/>
              </w:rPr>
              <w:t>活塞式。</w:t>
            </w:r>
          </w:p>
          <w:p w14:paraId="7F03449C">
            <w:pPr>
              <w:numPr>
                <w:ilvl w:val="0"/>
                <w:numId w:val="3"/>
              </w:numPr>
              <w:ind w:left="0" w:firstLine="0"/>
              <w:jc w:val="left"/>
              <w:rPr>
                <w:b w:val="0"/>
                <w:bCs/>
                <w:color w:val="auto"/>
                <w:spacing w:val="10"/>
                <w:sz w:val="24"/>
                <w:highlight w:val="none"/>
              </w:rPr>
            </w:pPr>
            <w:r>
              <w:rPr>
                <w:b w:val="0"/>
                <w:bCs/>
                <w:color w:val="auto"/>
                <w:spacing w:val="10"/>
                <w:sz w:val="24"/>
                <w:highlight w:val="none"/>
              </w:rPr>
              <w:t>液压管道为高压橡胶油管与无缝钢管</w:t>
            </w:r>
            <w:r>
              <w:rPr>
                <w:rFonts w:hint="eastAsia"/>
                <w:b w:val="0"/>
                <w:bCs/>
                <w:color w:val="auto"/>
                <w:spacing w:val="10"/>
                <w:sz w:val="24"/>
                <w:highlight w:val="none"/>
              </w:rPr>
              <w:t>。</w:t>
            </w:r>
          </w:p>
          <w:p w14:paraId="7F03449D">
            <w:pPr>
              <w:numPr>
                <w:ilvl w:val="0"/>
                <w:numId w:val="3"/>
              </w:numPr>
              <w:ind w:left="0" w:firstLine="0"/>
              <w:jc w:val="left"/>
              <w:rPr>
                <w:b w:val="0"/>
                <w:bCs/>
                <w:color w:val="auto"/>
                <w:spacing w:val="10"/>
                <w:sz w:val="24"/>
                <w:highlight w:val="none"/>
              </w:rPr>
            </w:pPr>
            <w:r>
              <w:rPr>
                <w:rFonts w:hint="eastAsia"/>
                <w:b w:val="0"/>
                <w:bCs/>
                <w:color w:val="auto"/>
                <w:spacing w:val="10"/>
                <w:sz w:val="24"/>
                <w:highlight w:val="none"/>
              </w:rPr>
              <w:t>炉头升降行程：见附录1、2，具体由投标方提供。</w:t>
            </w:r>
          </w:p>
        </w:tc>
        <w:tc>
          <w:tcPr>
            <w:tcW w:w="1463" w:type="dxa"/>
            <w:vAlign w:val="center"/>
          </w:tcPr>
          <w:p w14:paraId="7F03449E">
            <w:pPr>
              <w:jc w:val="center"/>
              <w:rPr>
                <w:b w:val="0"/>
                <w:bCs/>
                <w:color w:val="auto"/>
                <w:spacing w:val="10"/>
                <w:sz w:val="24"/>
                <w:highlight w:val="none"/>
              </w:rPr>
            </w:pPr>
            <w:r>
              <w:rPr>
                <w:b w:val="0"/>
                <w:bCs/>
                <w:color w:val="auto"/>
                <w:spacing w:val="10"/>
                <w:sz w:val="24"/>
                <w:highlight w:val="none"/>
              </w:rPr>
              <w:t>框架</w:t>
            </w:r>
          </w:p>
        </w:tc>
        <w:tc>
          <w:tcPr>
            <w:tcW w:w="3012" w:type="dxa"/>
            <w:vMerge w:val="restart"/>
            <w:vAlign w:val="center"/>
          </w:tcPr>
          <w:p w14:paraId="7F03449F">
            <w:pPr>
              <w:ind w:firstLine="520" w:firstLineChars="200"/>
              <w:jc w:val="left"/>
              <w:rPr>
                <w:b w:val="0"/>
                <w:bCs/>
                <w:color w:val="auto"/>
                <w:spacing w:val="10"/>
                <w:sz w:val="24"/>
                <w:highlight w:val="none"/>
              </w:rPr>
            </w:pPr>
            <w:r>
              <w:rPr>
                <w:b w:val="0"/>
                <w:bCs/>
                <w:color w:val="auto"/>
                <w:spacing w:val="10"/>
                <w:sz w:val="24"/>
                <w:highlight w:val="none"/>
              </w:rPr>
              <w:t>采用优质钢材制造；或为优质产品。结构可靠、稳定。</w:t>
            </w:r>
          </w:p>
          <w:p w14:paraId="7F0344A0">
            <w:pPr>
              <w:ind w:firstLine="520" w:firstLineChars="200"/>
              <w:jc w:val="left"/>
              <w:rPr>
                <w:b w:val="0"/>
                <w:bCs/>
                <w:color w:val="auto"/>
                <w:spacing w:val="10"/>
                <w:sz w:val="24"/>
                <w:highlight w:val="none"/>
              </w:rPr>
            </w:pPr>
            <w:r>
              <w:rPr>
                <w:b w:val="0"/>
                <w:bCs/>
                <w:color w:val="auto"/>
                <w:spacing w:val="10"/>
                <w:sz w:val="24"/>
                <w:highlight w:val="none"/>
              </w:rPr>
              <w:t>应符合国家、行业的有关标准要求。</w:t>
            </w:r>
          </w:p>
        </w:tc>
      </w:tr>
      <w:tr w14:paraId="7F03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3" w:type="dxa"/>
            <w:vMerge w:val="continue"/>
            <w:vAlign w:val="center"/>
          </w:tcPr>
          <w:p w14:paraId="7F0344A2">
            <w:pPr>
              <w:numPr>
                <w:ilvl w:val="0"/>
                <w:numId w:val="3"/>
              </w:numPr>
              <w:ind w:left="0" w:firstLine="0"/>
              <w:jc w:val="left"/>
              <w:rPr>
                <w:b w:val="0"/>
                <w:bCs/>
                <w:color w:val="auto"/>
                <w:spacing w:val="10"/>
                <w:sz w:val="24"/>
                <w:highlight w:val="none"/>
              </w:rPr>
            </w:pPr>
          </w:p>
        </w:tc>
        <w:tc>
          <w:tcPr>
            <w:tcW w:w="1463" w:type="dxa"/>
            <w:vAlign w:val="center"/>
          </w:tcPr>
          <w:p w14:paraId="7F0344A3">
            <w:pPr>
              <w:jc w:val="center"/>
              <w:rPr>
                <w:b w:val="0"/>
                <w:bCs/>
                <w:color w:val="auto"/>
                <w:spacing w:val="10"/>
                <w:sz w:val="24"/>
                <w:highlight w:val="none"/>
              </w:rPr>
            </w:pPr>
            <w:r>
              <w:rPr>
                <w:b w:val="0"/>
                <w:bCs/>
                <w:color w:val="auto"/>
                <w:spacing w:val="10"/>
                <w:sz w:val="24"/>
                <w:highlight w:val="none"/>
              </w:rPr>
              <w:t>液压泵</w:t>
            </w:r>
          </w:p>
          <w:p w14:paraId="7F0344A4">
            <w:pPr>
              <w:jc w:val="center"/>
              <w:rPr>
                <w:b w:val="0"/>
                <w:bCs/>
                <w:color w:val="auto"/>
                <w:spacing w:val="10"/>
                <w:sz w:val="24"/>
                <w:highlight w:val="none"/>
              </w:rPr>
            </w:pPr>
            <w:r>
              <w:rPr>
                <w:b w:val="0"/>
                <w:bCs/>
                <w:color w:val="auto"/>
                <w:spacing w:val="10"/>
                <w:sz w:val="24"/>
                <w:highlight w:val="none"/>
              </w:rPr>
              <w:t>油  箱</w:t>
            </w:r>
          </w:p>
        </w:tc>
        <w:tc>
          <w:tcPr>
            <w:tcW w:w="3012" w:type="dxa"/>
            <w:vMerge w:val="continue"/>
            <w:vAlign w:val="center"/>
          </w:tcPr>
          <w:p w14:paraId="7F0344A5">
            <w:pPr>
              <w:jc w:val="center"/>
              <w:rPr>
                <w:b w:val="0"/>
                <w:bCs/>
                <w:color w:val="auto"/>
                <w:spacing w:val="10"/>
                <w:sz w:val="24"/>
                <w:highlight w:val="none"/>
              </w:rPr>
            </w:pPr>
          </w:p>
        </w:tc>
      </w:tr>
      <w:tr w14:paraId="7F03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3" w:type="dxa"/>
            <w:vMerge w:val="continue"/>
            <w:vAlign w:val="center"/>
          </w:tcPr>
          <w:p w14:paraId="7F0344A7">
            <w:pPr>
              <w:numPr>
                <w:ilvl w:val="0"/>
                <w:numId w:val="3"/>
              </w:numPr>
              <w:ind w:left="0" w:firstLine="0"/>
              <w:jc w:val="left"/>
              <w:rPr>
                <w:b w:val="0"/>
                <w:bCs/>
                <w:color w:val="auto"/>
                <w:spacing w:val="10"/>
                <w:sz w:val="24"/>
                <w:highlight w:val="none"/>
              </w:rPr>
            </w:pPr>
          </w:p>
        </w:tc>
        <w:tc>
          <w:tcPr>
            <w:tcW w:w="1463" w:type="dxa"/>
            <w:vAlign w:val="center"/>
          </w:tcPr>
          <w:p w14:paraId="7F0344A8">
            <w:pPr>
              <w:jc w:val="center"/>
              <w:rPr>
                <w:b w:val="0"/>
                <w:bCs/>
                <w:color w:val="auto"/>
                <w:spacing w:val="10"/>
                <w:sz w:val="24"/>
                <w:highlight w:val="none"/>
              </w:rPr>
            </w:pPr>
            <w:r>
              <w:rPr>
                <w:b w:val="0"/>
                <w:bCs/>
                <w:color w:val="auto"/>
                <w:spacing w:val="10"/>
                <w:sz w:val="24"/>
                <w:highlight w:val="none"/>
              </w:rPr>
              <w:t>液压缸</w:t>
            </w:r>
          </w:p>
        </w:tc>
        <w:tc>
          <w:tcPr>
            <w:tcW w:w="3012" w:type="dxa"/>
            <w:vMerge w:val="continue"/>
            <w:vAlign w:val="center"/>
          </w:tcPr>
          <w:p w14:paraId="7F0344A9">
            <w:pPr>
              <w:jc w:val="center"/>
              <w:rPr>
                <w:b w:val="0"/>
                <w:bCs/>
                <w:color w:val="auto"/>
                <w:spacing w:val="10"/>
                <w:sz w:val="24"/>
                <w:highlight w:val="none"/>
              </w:rPr>
            </w:pPr>
          </w:p>
        </w:tc>
      </w:tr>
      <w:tr w14:paraId="7F03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63" w:type="dxa"/>
            <w:vMerge w:val="continue"/>
            <w:vAlign w:val="center"/>
          </w:tcPr>
          <w:p w14:paraId="7F0344AB">
            <w:pPr>
              <w:jc w:val="left"/>
              <w:rPr>
                <w:b w:val="0"/>
                <w:bCs/>
                <w:color w:val="auto"/>
                <w:spacing w:val="10"/>
                <w:sz w:val="24"/>
                <w:highlight w:val="none"/>
              </w:rPr>
            </w:pPr>
          </w:p>
        </w:tc>
        <w:tc>
          <w:tcPr>
            <w:tcW w:w="1463" w:type="dxa"/>
            <w:vAlign w:val="center"/>
          </w:tcPr>
          <w:p w14:paraId="7F0344AC">
            <w:pPr>
              <w:jc w:val="center"/>
              <w:rPr>
                <w:b w:val="0"/>
                <w:bCs/>
                <w:color w:val="auto"/>
                <w:spacing w:val="10"/>
                <w:sz w:val="24"/>
                <w:highlight w:val="none"/>
              </w:rPr>
            </w:pPr>
            <w:r>
              <w:rPr>
                <w:b w:val="0"/>
                <w:bCs/>
                <w:color w:val="auto"/>
                <w:spacing w:val="10"/>
                <w:sz w:val="24"/>
                <w:highlight w:val="none"/>
              </w:rPr>
              <w:t>液压管道</w:t>
            </w:r>
          </w:p>
        </w:tc>
        <w:tc>
          <w:tcPr>
            <w:tcW w:w="3012" w:type="dxa"/>
            <w:vMerge w:val="continue"/>
            <w:vAlign w:val="center"/>
          </w:tcPr>
          <w:p w14:paraId="7F0344AD">
            <w:pPr>
              <w:jc w:val="center"/>
              <w:rPr>
                <w:b w:val="0"/>
                <w:bCs/>
                <w:color w:val="auto"/>
                <w:spacing w:val="10"/>
                <w:sz w:val="24"/>
                <w:highlight w:val="none"/>
              </w:rPr>
            </w:pPr>
          </w:p>
        </w:tc>
      </w:tr>
    </w:tbl>
    <w:p w14:paraId="7F0344AF">
      <w:pPr>
        <w:spacing w:line="500" w:lineRule="exact"/>
        <w:rPr>
          <w:b w:val="0"/>
          <w:bCs/>
          <w:color w:val="auto"/>
          <w:spacing w:val="10"/>
          <w:sz w:val="24"/>
          <w:highlight w:val="none"/>
        </w:rPr>
      </w:pPr>
      <w:r>
        <w:rPr>
          <w:b w:val="0"/>
          <w:bCs/>
          <w:color w:val="auto"/>
          <w:spacing w:val="10"/>
          <w:sz w:val="24"/>
          <w:highlight w:val="none"/>
        </w:rPr>
        <w:t>6.2 结晶器、闭环冷却水系统</w:t>
      </w:r>
    </w:p>
    <w:p w14:paraId="7F0344B0">
      <w:pPr>
        <w:spacing w:line="500" w:lineRule="exact"/>
        <w:ind w:firstLine="520" w:firstLineChars="200"/>
        <w:rPr>
          <w:b w:val="0"/>
          <w:bCs/>
          <w:color w:val="auto"/>
          <w:spacing w:val="10"/>
          <w:sz w:val="24"/>
          <w:highlight w:val="none"/>
        </w:rPr>
      </w:pPr>
      <w:r>
        <w:rPr>
          <w:b w:val="0"/>
          <w:bCs/>
          <w:color w:val="auto"/>
          <w:spacing w:val="10"/>
          <w:sz w:val="24"/>
          <w:highlight w:val="none"/>
        </w:rPr>
        <w:t>坩埚系统主体为铜坩埚，</w:t>
      </w:r>
      <w:r>
        <w:rPr>
          <w:rFonts w:hint="eastAsia"/>
          <w:b w:val="0"/>
          <w:bCs/>
          <w:color w:val="auto"/>
          <w:spacing w:val="10"/>
          <w:sz w:val="24"/>
          <w:highlight w:val="none"/>
        </w:rPr>
        <w:t>筒体</w:t>
      </w:r>
      <w:r>
        <w:rPr>
          <w:b w:val="0"/>
          <w:bCs/>
          <w:color w:val="auto"/>
          <w:spacing w:val="10"/>
          <w:sz w:val="24"/>
          <w:highlight w:val="none"/>
        </w:rPr>
        <w:t>材料为T2，</w:t>
      </w:r>
      <w:r>
        <w:rPr>
          <w:rFonts w:hint="eastAsia"/>
          <w:b w:val="0"/>
          <w:bCs/>
          <w:color w:val="auto"/>
          <w:spacing w:val="10"/>
          <w:sz w:val="24"/>
          <w:highlight w:val="none"/>
        </w:rPr>
        <w:t>法兰为铜钢复合，</w:t>
      </w:r>
      <w:r>
        <w:rPr>
          <w:b w:val="0"/>
          <w:bCs/>
          <w:color w:val="auto"/>
          <w:spacing w:val="10"/>
          <w:sz w:val="24"/>
          <w:highlight w:val="none"/>
        </w:rPr>
        <w:t>每种尺寸的坩埚自带一个不锈钢内水套，并用不锈钢螺栓进行固定。坩埚系统的非铜部件应用不锈钢制作，各部位间应用不锈钢螺栓连接，防止因锈蚀而影响正常的拆装。坩埚底座与坩埚体的拆装应便于操作。</w:t>
      </w:r>
      <w:r>
        <w:rPr>
          <w:rFonts w:hint="eastAsia"/>
          <w:b w:val="0"/>
          <w:bCs/>
          <w:color w:val="auto"/>
          <w:spacing w:val="10"/>
          <w:sz w:val="24"/>
          <w:highlight w:val="none"/>
        </w:rPr>
        <w:t>（仅提供结晶器设计图纸）</w:t>
      </w:r>
    </w:p>
    <w:p w14:paraId="7F0344B1">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坩埚应设计为具备从底部充惰性气体，以强化铸锭冷却条件实现浅熔池熔炼的目的（坩埚顶部两边设置通气孔并连通到坩埚底部）。充氦熔炼能够实现流量控制和压力控制，氦气压力范围在0-3500Pa以内，流量范围在0-300ml/min，氦气压力的控制精度为±100Pa。</w:t>
      </w:r>
    </w:p>
    <w:p w14:paraId="7F0344B2">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采用内循环水（热）—闭式盘管—冷却塔系统进行循环水冷却时，投标方应对外循环水的冷却能力提出量化需求，以便于甲方有效配套。</w:t>
      </w:r>
    </w:p>
    <w:p w14:paraId="7F0344B3">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以下部分应形成单独的水冷动力：（乙方可进行优化设计，电源整流柜水冷须独立）</w:t>
      </w:r>
    </w:p>
    <w:p w14:paraId="7F0344B4">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A）1台1000kg炉配置1套水冷，两个路径分别是a、冷却两个工位（熔化站、炉头、）、真空泵机组（机、罗、增、扩）和其他部件；b、电极杆、水冷电缆、铜管及电源冷却外水。电源冷却内水循环独立（与b通过板换换热）。</w:t>
      </w:r>
    </w:p>
    <w:p w14:paraId="7F0344B5">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B）2台300kg炉各配1套水冷。每套水冷为1个路径，为冷却工位（熔化站、炉头）、真空泵机组（机、罗、增、扩）和其他部件，电极杆、水冷电缆、铜管及电源冷却外水。电源冷却内水循环独立（与水冷路径板换换热）。</w:t>
      </w:r>
    </w:p>
    <w:p w14:paraId="7F0344B6">
      <w:pPr>
        <w:numPr>
          <w:ilvl w:val="0"/>
          <w:numId w:val="4"/>
        </w:num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须单独再给油增压泵、扩散泵配置一套冷水机组，实现单独降油温时的冷却。此时，可以关闭主循环水泵。（水路与主循环并联，手阀切换）（1000kg炉1套，2台300kg炉共用1套）</w:t>
      </w:r>
    </w:p>
    <w:p w14:paraId="7F0344B7">
      <w:pPr>
        <w:spacing w:line="480" w:lineRule="exact"/>
        <w:ind w:firstLine="520" w:firstLineChars="200"/>
        <w:rPr>
          <w:b w:val="0"/>
          <w:bCs/>
          <w:color w:val="auto"/>
          <w:spacing w:val="10"/>
          <w:sz w:val="24"/>
          <w:highlight w:val="none"/>
        </w:rPr>
      </w:pPr>
      <w:r>
        <w:rPr>
          <w:rFonts w:hint="eastAsia"/>
          <w:b w:val="0"/>
          <w:bCs/>
          <w:color w:val="auto"/>
          <w:spacing w:val="10"/>
          <w:sz w:val="24"/>
          <w:highlight w:val="none"/>
        </w:rPr>
        <w:t>熔化站</w:t>
      </w:r>
      <w:r>
        <w:rPr>
          <w:b w:val="0"/>
          <w:bCs/>
          <w:color w:val="auto"/>
          <w:spacing w:val="10"/>
          <w:sz w:val="24"/>
          <w:highlight w:val="none"/>
        </w:rPr>
        <w:t>的内、外水套用不锈钢制成，顶法兰是不锈钢的</w:t>
      </w:r>
      <w:r>
        <w:rPr>
          <w:rFonts w:hint="eastAsia"/>
          <w:b w:val="0"/>
          <w:bCs/>
          <w:color w:val="auto"/>
          <w:spacing w:val="10"/>
          <w:sz w:val="24"/>
          <w:highlight w:val="none"/>
        </w:rPr>
        <w:t>（外部支撑件为碳钢）</w:t>
      </w:r>
      <w:r>
        <w:rPr>
          <w:b w:val="0"/>
          <w:bCs/>
          <w:color w:val="auto"/>
          <w:spacing w:val="10"/>
          <w:sz w:val="24"/>
          <w:highlight w:val="none"/>
        </w:rPr>
        <w:t>，与外水套连接的导水管应为防磁不锈钢。应配备循环冷却水的循环水泵、单向阀、截止阀、供水管道、流量计、水温检测装置等；应配备水循环增压泵，以保证沿结晶器壁冷却水有足够的流速；应配备排污系统，便于工位维保时污水的排放；应配备便于拆装的冷却水过滤装置；</w:t>
      </w:r>
      <w:r>
        <w:rPr>
          <w:rFonts w:hint="eastAsia"/>
          <w:b w:val="0"/>
          <w:bCs/>
          <w:color w:val="auto"/>
          <w:spacing w:val="10"/>
          <w:sz w:val="24"/>
          <w:highlight w:val="none"/>
        </w:rPr>
        <w:t>熔化站</w:t>
      </w:r>
      <w:r>
        <w:rPr>
          <w:b w:val="0"/>
          <w:bCs/>
          <w:color w:val="auto"/>
          <w:spacing w:val="10"/>
          <w:sz w:val="24"/>
          <w:highlight w:val="none"/>
        </w:rPr>
        <w:t>水循环系统应实现</w:t>
      </w:r>
      <w:r>
        <w:rPr>
          <w:rFonts w:hint="eastAsia"/>
          <w:b w:val="0"/>
          <w:bCs/>
          <w:color w:val="auto"/>
          <w:spacing w:val="10"/>
          <w:sz w:val="24"/>
          <w:highlight w:val="none"/>
        </w:rPr>
        <w:t>水套</w:t>
      </w:r>
      <w:r>
        <w:rPr>
          <w:b w:val="0"/>
          <w:bCs/>
          <w:color w:val="auto"/>
          <w:spacing w:val="10"/>
          <w:sz w:val="24"/>
          <w:highlight w:val="none"/>
        </w:rPr>
        <w:t>水压</w:t>
      </w:r>
      <w:r>
        <w:rPr>
          <w:rFonts w:hint="eastAsia"/>
          <w:b w:val="0"/>
          <w:bCs/>
          <w:color w:val="auto"/>
          <w:spacing w:val="10"/>
          <w:sz w:val="24"/>
          <w:highlight w:val="none"/>
        </w:rPr>
        <w:t>、水流量、水温</w:t>
      </w:r>
      <w:r>
        <w:rPr>
          <w:b w:val="0"/>
          <w:bCs/>
          <w:color w:val="auto"/>
          <w:spacing w:val="10"/>
          <w:sz w:val="24"/>
          <w:highlight w:val="none"/>
        </w:rPr>
        <w:t>连续可调</w:t>
      </w:r>
      <w:r>
        <w:rPr>
          <w:rFonts w:hint="eastAsia"/>
          <w:b w:val="0"/>
          <w:bCs/>
          <w:color w:val="auto"/>
          <w:spacing w:val="10"/>
          <w:sz w:val="24"/>
          <w:highlight w:val="none"/>
        </w:rPr>
        <w:t>或可监控</w:t>
      </w:r>
      <w:r>
        <w:rPr>
          <w:b w:val="0"/>
          <w:bCs/>
          <w:color w:val="auto"/>
          <w:spacing w:val="10"/>
          <w:sz w:val="24"/>
          <w:highlight w:val="none"/>
        </w:rPr>
        <w:t>。应对设备所有需要冷却的部件（各真空泵、炉头、水冷电缆等）实现冷却</w:t>
      </w:r>
      <w:r>
        <w:rPr>
          <w:rFonts w:hint="eastAsia"/>
          <w:b w:val="0"/>
          <w:bCs/>
          <w:color w:val="auto"/>
          <w:highlight w:val="none"/>
        </w:rPr>
        <w:t>。</w:t>
      </w:r>
      <w:r>
        <w:rPr>
          <w:b w:val="0"/>
          <w:bCs/>
          <w:color w:val="auto"/>
          <w:kern w:val="0"/>
          <w:sz w:val="24"/>
          <w:highlight w:val="none"/>
        </w:rPr>
        <w:t>闭环冷却水系统泵、阀的启闭通过操作人员对计算机的操控实现。</w:t>
      </w:r>
      <w:r>
        <w:rPr>
          <w:b w:val="0"/>
          <w:bCs/>
          <w:color w:val="auto"/>
          <w:spacing w:val="10"/>
          <w:sz w:val="24"/>
          <w:highlight w:val="none"/>
        </w:rPr>
        <w:t>应当配备应急水的接入口与相应的排水管路。</w:t>
      </w:r>
    </w:p>
    <w:p w14:paraId="7F0344B8">
      <w:pPr>
        <w:spacing w:line="480" w:lineRule="exact"/>
        <w:ind w:firstLine="520" w:firstLineChars="200"/>
        <w:rPr>
          <w:b w:val="0"/>
          <w:bCs/>
          <w:color w:val="auto"/>
          <w:spacing w:val="10"/>
          <w:sz w:val="24"/>
          <w:highlight w:val="none"/>
        </w:rPr>
      </w:pPr>
    </w:p>
    <w:p w14:paraId="7F0344B9">
      <w:pPr>
        <w:spacing w:line="480" w:lineRule="exact"/>
        <w:ind w:firstLine="520" w:firstLineChars="200"/>
        <w:rPr>
          <w:b w:val="0"/>
          <w:bCs/>
          <w:color w:val="auto"/>
          <w:spacing w:val="10"/>
          <w:sz w:val="24"/>
          <w:highlight w:val="none"/>
        </w:rPr>
      </w:pPr>
    </w:p>
    <w:p w14:paraId="7F0344BA">
      <w:pPr>
        <w:spacing w:line="480" w:lineRule="exact"/>
        <w:ind w:firstLine="520" w:firstLineChars="200"/>
        <w:rPr>
          <w:b w:val="0"/>
          <w:bCs/>
          <w:color w:val="auto"/>
          <w:spacing w:val="10"/>
          <w:sz w:val="24"/>
          <w:highlight w:val="none"/>
        </w:rPr>
      </w:pP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0"/>
        <w:gridCol w:w="3134"/>
        <w:gridCol w:w="2244"/>
      </w:tblGrid>
      <w:tr w14:paraId="7F03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Align w:val="center"/>
          </w:tcPr>
          <w:p w14:paraId="7F0344BB">
            <w:pPr>
              <w:jc w:val="center"/>
              <w:rPr>
                <w:b w:val="0"/>
                <w:bCs/>
                <w:color w:val="auto"/>
                <w:spacing w:val="10"/>
                <w:sz w:val="24"/>
                <w:highlight w:val="none"/>
              </w:rPr>
            </w:pPr>
            <w:r>
              <w:rPr>
                <w:b w:val="0"/>
                <w:bCs/>
                <w:color w:val="auto"/>
                <w:spacing w:val="10"/>
                <w:sz w:val="24"/>
                <w:highlight w:val="none"/>
              </w:rPr>
              <w:t>技术要求</w:t>
            </w:r>
          </w:p>
        </w:tc>
        <w:tc>
          <w:tcPr>
            <w:tcW w:w="5378" w:type="dxa"/>
            <w:gridSpan w:val="2"/>
            <w:vAlign w:val="center"/>
          </w:tcPr>
          <w:p w14:paraId="7F0344BC">
            <w:pPr>
              <w:jc w:val="center"/>
              <w:rPr>
                <w:b w:val="0"/>
                <w:bCs/>
                <w:color w:val="auto"/>
                <w:spacing w:val="10"/>
                <w:sz w:val="24"/>
                <w:highlight w:val="none"/>
              </w:rPr>
            </w:pPr>
            <w:r>
              <w:rPr>
                <w:b w:val="0"/>
                <w:bCs/>
                <w:color w:val="auto"/>
                <w:spacing w:val="10"/>
                <w:sz w:val="24"/>
                <w:highlight w:val="none"/>
              </w:rPr>
              <w:t>配置要求</w:t>
            </w:r>
          </w:p>
        </w:tc>
      </w:tr>
      <w:tr w14:paraId="7F03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restart"/>
            <w:vAlign w:val="center"/>
          </w:tcPr>
          <w:p w14:paraId="7F0344BE">
            <w:pPr>
              <w:spacing w:before="156" w:beforeLines="50"/>
              <w:jc w:val="left"/>
              <w:rPr>
                <w:b w:val="0"/>
                <w:bCs/>
                <w:color w:val="auto"/>
                <w:spacing w:val="10"/>
                <w:sz w:val="24"/>
                <w:highlight w:val="none"/>
              </w:rPr>
            </w:pPr>
            <w:r>
              <w:rPr>
                <w:rFonts w:hint="eastAsia"/>
                <w:b w:val="0"/>
                <w:bCs/>
                <w:color w:val="auto"/>
                <w:spacing w:val="10"/>
                <w:sz w:val="24"/>
                <w:highlight w:val="none"/>
              </w:rPr>
              <w:t>1、</w:t>
            </w:r>
            <w:r>
              <w:rPr>
                <w:b w:val="0"/>
                <w:bCs/>
                <w:color w:val="auto"/>
                <w:spacing w:val="10"/>
                <w:sz w:val="24"/>
                <w:highlight w:val="none"/>
              </w:rPr>
              <w:t>冷却水循环量：</w:t>
            </w:r>
            <w:r>
              <w:rPr>
                <w:rFonts w:hint="eastAsia"/>
                <w:b w:val="0"/>
                <w:bCs/>
                <w:color w:val="auto"/>
                <w:spacing w:val="10"/>
                <w:sz w:val="24"/>
                <w:highlight w:val="none"/>
              </w:rPr>
              <w:t>145m</w:t>
            </w:r>
            <w:r>
              <w:rPr>
                <w:rFonts w:hint="eastAsia"/>
                <w:b w:val="0"/>
                <w:bCs/>
                <w:color w:val="auto"/>
                <w:spacing w:val="10"/>
                <w:sz w:val="24"/>
                <w:highlight w:val="none"/>
                <w:vertAlign w:val="superscript"/>
              </w:rPr>
              <w:t>3</w:t>
            </w:r>
            <w:r>
              <w:rPr>
                <w:rFonts w:hint="eastAsia"/>
                <w:b w:val="0"/>
                <w:bCs/>
                <w:color w:val="auto"/>
                <w:spacing w:val="10"/>
                <w:sz w:val="24"/>
                <w:highlight w:val="none"/>
              </w:rPr>
              <w:t>/h，以详细设计为准</w:t>
            </w:r>
            <w:r>
              <w:rPr>
                <w:b w:val="0"/>
                <w:bCs/>
                <w:color w:val="auto"/>
                <w:spacing w:val="10"/>
                <w:sz w:val="24"/>
                <w:highlight w:val="none"/>
              </w:rPr>
              <w:t>；</w:t>
            </w:r>
          </w:p>
          <w:p w14:paraId="7F0344BF">
            <w:pPr>
              <w:ind w:firstLine="455" w:firstLineChars="175"/>
              <w:jc w:val="left"/>
              <w:rPr>
                <w:b w:val="0"/>
                <w:bCs/>
                <w:color w:val="auto"/>
                <w:spacing w:val="10"/>
                <w:sz w:val="24"/>
                <w:highlight w:val="none"/>
              </w:rPr>
            </w:pPr>
            <w:r>
              <w:rPr>
                <w:b w:val="0"/>
                <w:bCs/>
                <w:color w:val="auto"/>
                <w:spacing w:val="10"/>
                <w:sz w:val="24"/>
                <w:highlight w:val="none"/>
              </w:rPr>
              <w:t>冷却水压力</w:t>
            </w:r>
            <w:r>
              <w:rPr>
                <w:rFonts w:hint="eastAsia"/>
                <w:b w:val="0"/>
                <w:bCs/>
                <w:color w:val="auto"/>
                <w:spacing w:val="10"/>
                <w:sz w:val="24"/>
                <w:highlight w:val="none"/>
              </w:rPr>
              <w:t>：≥0.4MPa</w:t>
            </w:r>
          </w:p>
          <w:p w14:paraId="7F0344C0">
            <w:pPr>
              <w:spacing w:before="156" w:beforeLines="50"/>
              <w:jc w:val="left"/>
              <w:rPr>
                <w:b w:val="0"/>
                <w:bCs/>
                <w:color w:val="auto"/>
                <w:spacing w:val="10"/>
                <w:sz w:val="24"/>
                <w:highlight w:val="none"/>
              </w:rPr>
            </w:pPr>
            <w:r>
              <w:rPr>
                <w:rFonts w:hint="eastAsia"/>
                <w:b w:val="0"/>
                <w:bCs/>
                <w:color w:val="auto"/>
                <w:spacing w:val="10"/>
                <w:sz w:val="24"/>
                <w:highlight w:val="none"/>
              </w:rPr>
              <w:t>2、坩埚冷却回水</w:t>
            </w:r>
            <w:r>
              <w:rPr>
                <w:b w:val="0"/>
                <w:bCs/>
                <w:color w:val="auto"/>
                <w:spacing w:val="10"/>
                <w:sz w:val="24"/>
                <w:highlight w:val="none"/>
              </w:rPr>
              <w:t>水温：25～</w:t>
            </w:r>
            <w:r>
              <w:rPr>
                <w:rFonts w:hint="eastAsia"/>
                <w:b w:val="0"/>
                <w:bCs/>
                <w:color w:val="auto"/>
                <w:spacing w:val="10"/>
                <w:sz w:val="24"/>
                <w:highlight w:val="none"/>
              </w:rPr>
              <w:t>4</w:t>
            </w:r>
            <w:r>
              <w:rPr>
                <w:b w:val="0"/>
                <w:bCs/>
                <w:color w:val="auto"/>
                <w:spacing w:val="10"/>
                <w:sz w:val="24"/>
                <w:highlight w:val="none"/>
              </w:rPr>
              <w:t>5</w:t>
            </w:r>
            <w:r>
              <w:rPr>
                <w:rFonts w:hint="eastAsia"/>
                <w:b w:val="0"/>
                <w:bCs/>
                <w:color w:val="auto"/>
                <w:spacing w:val="10"/>
                <w:sz w:val="24"/>
                <w:highlight w:val="none"/>
              </w:rPr>
              <w:t>℃</w:t>
            </w:r>
            <w:r>
              <w:rPr>
                <w:b w:val="0"/>
                <w:bCs/>
                <w:color w:val="auto"/>
                <w:spacing w:val="10"/>
                <w:sz w:val="24"/>
                <w:highlight w:val="none"/>
              </w:rPr>
              <w:t>自动可调可控</w:t>
            </w:r>
            <w:r>
              <w:rPr>
                <w:rFonts w:hint="eastAsia"/>
                <w:b w:val="0"/>
                <w:bCs/>
                <w:color w:val="auto"/>
                <w:spacing w:val="10"/>
                <w:sz w:val="24"/>
                <w:highlight w:val="none"/>
              </w:rPr>
              <w:t>。（验收时，综合考虑外循环冷却水水温情况，坩埚冷却进水水温与坩埚冷却回水水温的温差在10℃以内可控。）</w:t>
            </w:r>
          </w:p>
        </w:tc>
        <w:tc>
          <w:tcPr>
            <w:tcW w:w="3134" w:type="dxa"/>
            <w:vAlign w:val="center"/>
          </w:tcPr>
          <w:p w14:paraId="7F0344C1">
            <w:pPr>
              <w:jc w:val="left"/>
              <w:rPr>
                <w:b w:val="0"/>
                <w:bCs/>
                <w:color w:val="auto"/>
                <w:spacing w:val="10"/>
                <w:sz w:val="24"/>
                <w:highlight w:val="none"/>
              </w:rPr>
            </w:pPr>
            <w:r>
              <w:rPr>
                <w:b w:val="0"/>
                <w:bCs/>
                <w:color w:val="auto"/>
                <w:spacing w:val="10"/>
                <w:sz w:val="24"/>
                <w:highlight w:val="none"/>
              </w:rPr>
              <w:t>坩埚、水套、法兰、水箱、供水管道</w:t>
            </w:r>
          </w:p>
        </w:tc>
        <w:tc>
          <w:tcPr>
            <w:tcW w:w="2244" w:type="dxa"/>
            <w:vAlign w:val="center"/>
          </w:tcPr>
          <w:p w14:paraId="7F0344C2">
            <w:pPr>
              <w:ind w:firstLine="480" w:firstLineChars="200"/>
              <w:rPr>
                <w:b w:val="0"/>
                <w:bCs/>
                <w:color w:val="auto"/>
                <w:sz w:val="24"/>
                <w:highlight w:val="none"/>
              </w:rPr>
            </w:pPr>
            <w:r>
              <w:rPr>
                <w:b w:val="0"/>
                <w:bCs/>
                <w:color w:val="auto"/>
                <w:sz w:val="24"/>
                <w:highlight w:val="none"/>
              </w:rPr>
              <w:t>采用优质不锈钢材料制造</w:t>
            </w:r>
          </w:p>
        </w:tc>
      </w:tr>
      <w:tr w14:paraId="7F03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C4">
            <w:pPr>
              <w:jc w:val="left"/>
              <w:rPr>
                <w:b w:val="0"/>
                <w:bCs/>
                <w:color w:val="auto"/>
                <w:spacing w:val="10"/>
                <w:sz w:val="24"/>
                <w:highlight w:val="none"/>
              </w:rPr>
            </w:pPr>
          </w:p>
        </w:tc>
        <w:tc>
          <w:tcPr>
            <w:tcW w:w="3134" w:type="dxa"/>
            <w:vAlign w:val="center"/>
          </w:tcPr>
          <w:p w14:paraId="7F0344C5">
            <w:pPr>
              <w:jc w:val="center"/>
              <w:rPr>
                <w:b w:val="0"/>
                <w:bCs/>
                <w:color w:val="auto"/>
                <w:spacing w:val="10"/>
                <w:sz w:val="24"/>
                <w:highlight w:val="none"/>
              </w:rPr>
            </w:pPr>
            <w:r>
              <w:rPr>
                <w:b w:val="0"/>
                <w:bCs/>
                <w:color w:val="auto"/>
                <w:spacing w:val="10"/>
                <w:sz w:val="24"/>
                <w:highlight w:val="none"/>
              </w:rPr>
              <w:t>电动机；传动部件</w:t>
            </w:r>
          </w:p>
        </w:tc>
        <w:tc>
          <w:tcPr>
            <w:tcW w:w="2244" w:type="dxa"/>
            <w:vMerge w:val="restart"/>
            <w:vAlign w:val="center"/>
          </w:tcPr>
          <w:p w14:paraId="7F0344C6">
            <w:pPr>
              <w:jc w:val="center"/>
              <w:rPr>
                <w:b w:val="0"/>
                <w:bCs/>
                <w:color w:val="auto"/>
                <w:sz w:val="24"/>
                <w:highlight w:val="none"/>
              </w:rPr>
            </w:pPr>
            <w:r>
              <w:rPr>
                <w:b w:val="0"/>
                <w:bCs/>
                <w:color w:val="auto"/>
                <w:sz w:val="24"/>
                <w:highlight w:val="none"/>
              </w:rPr>
              <w:t>国产</w:t>
            </w:r>
            <w:r>
              <w:rPr>
                <w:rFonts w:hint="eastAsia"/>
                <w:b w:val="0"/>
                <w:bCs/>
                <w:color w:val="auto"/>
                <w:sz w:val="24"/>
                <w:highlight w:val="none"/>
              </w:rPr>
              <w:t>优质</w:t>
            </w:r>
          </w:p>
          <w:p w14:paraId="7F0344C7">
            <w:pPr>
              <w:jc w:val="center"/>
              <w:rPr>
                <w:b w:val="0"/>
                <w:bCs/>
                <w:color w:val="auto"/>
                <w:sz w:val="24"/>
                <w:highlight w:val="none"/>
              </w:rPr>
            </w:pPr>
            <w:r>
              <w:rPr>
                <w:b w:val="0"/>
                <w:bCs/>
                <w:color w:val="auto"/>
                <w:sz w:val="24"/>
                <w:highlight w:val="none"/>
              </w:rPr>
              <w:t>或进口</w:t>
            </w:r>
          </w:p>
        </w:tc>
      </w:tr>
      <w:tr w14:paraId="7F03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C9">
            <w:pPr>
              <w:jc w:val="left"/>
              <w:rPr>
                <w:b w:val="0"/>
                <w:bCs/>
                <w:color w:val="auto"/>
                <w:spacing w:val="10"/>
                <w:sz w:val="24"/>
                <w:highlight w:val="none"/>
              </w:rPr>
            </w:pPr>
          </w:p>
        </w:tc>
        <w:tc>
          <w:tcPr>
            <w:tcW w:w="3134" w:type="dxa"/>
            <w:vAlign w:val="center"/>
          </w:tcPr>
          <w:p w14:paraId="7F0344CA">
            <w:pPr>
              <w:jc w:val="center"/>
              <w:rPr>
                <w:b w:val="0"/>
                <w:bCs/>
                <w:color w:val="auto"/>
                <w:spacing w:val="10"/>
                <w:sz w:val="24"/>
                <w:highlight w:val="none"/>
              </w:rPr>
            </w:pPr>
            <w:r>
              <w:rPr>
                <w:b w:val="0"/>
                <w:bCs/>
                <w:color w:val="auto"/>
                <w:spacing w:val="10"/>
                <w:sz w:val="24"/>
                <w:highlight w:val="none"/>
              </w:rPr>
              <w:t>主循环水泵</w:t>
            </w:r>
          </w:p>
        </w:tc>
        <w:tc>
          <w:tcPr>
            <w:tcW w:w="2244" w:type="dxa"/>
            <w:vMerge w:val="continue"/>
            <w:vAlign w:val="center"/>
          </w:tcPr>
          <w:p w14:paraId="7F0344CB">
            <w:pPr>
              <w:jc w:val="center"/>
              <w:rPr>
                <w:b w:val="0"/>
                <w:bCs/>
                <w:color w:val="auto"/>
                <w:sz w:val="24"/>
                <w:highlight w:val="none"/>
              </w:rPr>
            </w:pPr>
          </w:p>
        </w:tc>
      </w:tr>
      <w:tr w14:paraId="7F03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CD">
            <w:pPr>
              <w:jc w:val="left"/>
              <w:rPr>
                <w:b w:val="0"/>
                <w:bCs/>
                <w:color w:val="auto"/>
                <w:spacing w:val="10"/>
                <w:sz w:val="24"/>
                <w:highlight w:val="none"/>
              </w:rPr>
            </w:pPr>
          </w:p>
        </w:tc>
        <w:tc>
          <w:tcPr>
            <w:tcW w:w="3134" w:type="dxa"/>
            <w:vAlign w:val="center"/>
          </w:tcPr>
          <w:p w14:paraId="7F0344CE">
            <w:pPr>
              <w:jc w:val="center"/>
              <w:rPr>
                <w:b w:val="0"/>
                <w:bCs/>
                <w:color w:val="auto"/>
                <w:spacing w:val="10"/>
                <w:sz w:val="24"/>
                <w:highlight w:val="none"/>
              </w:rPr>
            </w:pPr>
            <w:r>
              <w:rPr>
                <w:b w:val="0"/>
                <w:bCs/>
                <w:color w:val="auto"/>
                <w:spacing w:val="10"/>
                <w:sz w:val="24"/>
                <w:highlight w:val="none"/>
              </w:rPr>
              <w:t>水循环增压泵</w:t>
            </w:r>
          </w:p>
        </w:tc>
        <w:tc>
          <w:tcPr>
            <w:tcW w:w="2244" w:type="dxa"/>
            <w:vMerge w:val="continue"/>
            <w:vAlign w:val="center"/>
          </w:tcPr>
          <w:p w14:paraId="7F0344CF">
            <w:pPr>
              <w:jc w:val="center"/>
              <w:rPr>
                <w:b w:val="0"/>
                <w:bCs/>
                <w:color w:val="auto"/>
                <w:sz w:val="24"/>
                <w:highlight w:val="none"/>
              </w:rPr>
            </w:pPr>
          </w:p>
        </w:tc>
      </w:tr>
      <w:tr w14:paraId="7F03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D1">
            <w:pPr>
              <w:jc w:val="left"/>
              <w:rPr>
                <w:b w:val="0"/>
                <w:bCs/>
                <w:color w:val="auto"/>
                <w:spacing w:val="10"/>
                <w:sz w:val="24"/>
                <w:highlight w:val="none"/>
              </w:rPr>
            </w:pPr>
          </w:p>
        </w:tc>
        <w:tc>
          <w:tcPr>
            <w:tcW w:w="3134" w:type="dxa"/>
            <w:vAlign w:val="center"/>
          </w:tcPr>
          <w:p w14:paraId="7F0344D2">
            <w:pPr>
              <w:jc w:val="center"/>
              <w:rPr>
                <w:b w:val="0"/>
                <w:bCs/>
                <w:color w:val="auto"/>
                <w:spacing w:val="10"/>
                <w:sz w:val="24"/>
                <w:highlight w:val="none"/>
              </w:rPr>
            </w:pPr>
            <w:r>
              <w:rPr>
                <w:b w:val="0"/>
                <w:bCs/>
                <w:color w:val="auto"/>
                <w:spacing w:val="10"/>
                <w:sz w:val="24"/>
                <w:highlight w:val="none"/>
              </w:rPr>
              <w:t>其他水泵</w:t>
            </w:r>
          </w:p>
        </w:tc>
        <w:tc>
          <w:tcPr>
            <w:tcW w:w="2244" w:type="dxa"/>
            <w:vMerge w:val="continue"/>
            <w:vAlign w:val="center"/>
          </w:tcPr>
          <w:p w14:paraId="7F0344D3">
            <w:pPr>
              <w:jc w:val="center"/>
              <w:rPr>
                <w:b w:val="0"/>
                <w:bCs/>
                <w:color w:val="auto"/>
                <w:sz w:val="24"/>
                <w:highlight w:val="none"/>
              </w:rPr>
            </w:pPr>
          </w:p>
        </w:tc>
      </w:tr>
      <w:tr w14:paraId="7F03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D5">
            <w:pPr>
              <w:jc w:val="left"/>
              <w:rPr>
                <w:b w:val="0"/>
                <w:bCs/>
                <w:color w:val="auto"/>
                <w:spacing w:val="10"/>
                <w:sz w:val="24"/>
                <w:highlight w:val="none"/>
              </w:rPr>
            </w:pPr>
          </w:p>
        </w:tc>
        <w:tc>
          <w:tcPr>
            <w:tcW w:w="3134" w:type="dxa"/>
            <w:vAlign w:val="center"/>
          </w:tcPr>
          <w:p w14:paraId="7F0344D6">
            <w:pPr>
              <w:jc w:val="center"/>
              <w:rPr>
                <w:b w:val="0"/>
                <w:bCs/>
                <w:color w:val="auto"/>
                <w:spacing w:val="10"/>
                <w:sz w:val="24"/>
                <w:highlight w:val="none"/>
              </w:rPr>
            </w:pPr>
            <w:r>
              <w:rPr>
                <w:b w:val="0"/>
                <w:bCs/>
                <w:color w:val="auto"/>
                <w:spacing w:val="10"/>
                <w:sz w:val="24"/>
                <w:highlight w:val="none"/>
              </w:rPr>
              <w:t>电控水阀</w:t>
            </w:r>
          </w:p>
        </w:tc>
        <w:tc>
          <w:tcPr>
            <w:tcW w:w="2244" w:type="dxa"/>
            <w:vMerge w:val="continue"/>
            <w:vAlign w:val="center"/>
          </w:tcPr>
          <w:p w14:paraId="7F0344D7">
            <w:pPr>
              <w:jc w:val="center"/>
              <w:rPr>
                <w:b w:val="0"/>
                <w:bCs/>
                <w:color w:val="auto"/>
                <w:sz w:val="24"/>
                <w:highlight w:val="none"/>
              </w:rPr>
            </w:pPr>
          </w:p>
        </w:tc>
      </w:tr>
      <w:tr w14:paraId="7F03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D9">
            <w:pPr>
              <w:jc w:val="left"/>
              <w:rPr>
                <w:b w:val="0"/>
                <w:bCs/>
                <w:color w:val="auto"/>
                <w:spacing w:val="10"/>
                <w:sz w:val="24"/>
                <w:highlight w:val="none"/>
              </w:rPr>
            </w:pPr>
          </w:p>
        </w:tc>
        <w:tc>
          <w:tcPr>
            <w:tcW w:w="3134" w:type="dxa"/>
            <w:vAlign w:val="center"/>
          </w:tcPr>
          <w:p w14:paraId="7F0344DA">
            <w:pPr>
              <w:jc w:val="center"/>
              <w:rPr>
                <w:b w:val="0"/>
                <w:bCs/>
                <w:color w:val="auto"/>
                <w:spacing w:val="10"/>
                <w:sz w:val="24"/>
                <w:highlight w:val="none"/>
              </w:rPr>
            </w:pPr>
            <w:r>
              <w:rPr>
                <w:b w:val="0"/>
                <w:bCs/>
                <w:color w:val="auto"/>
                <w:spacing w:val="10"/>
                <w:sz w:val="24"/>
                <w:highlight w:val="none"/>
              </w:rPr>
              <w:t>手动水阀</w:t>
            </w:r>
          </w:p>
        </w:tc>
        <w:tc>
          <w:tcPr>
            <w:tcW w:w="2244" w:type="dxa"/>
            <w:vMerge w:val="continue"/>
            <w:vAlign w:val="center"/>
          </w:tcPr>
          <w:p w14:paraId="7F0344DB">
            <w:pPr>
              <w:jc w:val="center"/>
              <w:rPr>
                <w:b w:val="0"/>
                <w:bCs/>
                <w:color w:val="auto"/>
                <w:sz w:val="24"/>
                <w:highlight w:val="none"/>
              </w:rPr>
            </w:pPr>
          </w:p>
        </w:tc>
      </w:tr>
      <w:tr w14:paraId="7F03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DD">
            <w:pPr>
              <w:jc w:val="left"/>
              <w:rPr>
                <w:b w:val="0"/>
                <w:bCs/>
                <w:color w:val="auto"/>
                <w:spacing w:val="10"/>
                <w:sz w:val="24"/>
                <w:highlight w:val="none"/>
              </w:rPr>
            </w:pPr>
          </w:p>
        </w:tc>
        <w:tc>
          <w:tcPr>
            <w:tcW w:w="3134" w:type="dxa"/>
            <w:vAlign w:val="center"/>
          </w:tcPr>
          <w:p w14:paraId="7F0344DE">
            <w:pPr>
              <w:jc w:val="center"/>
              <w:rPr>
                <w:b w:val="0"/>
                <w:bCs/>
                <w:color w:val="auto"/>
                <w:spacing w:val="10"/>
                <w:sz w:val="24"/>
                <w:highlight w:val="none"/>
              </w:rPr>
            </w:pPr>
            <w:r>
              <w:rPr>
                <w:b w:val="0"/>
                <w:bCs/>
                <w:color w:val="auto"/>
                <w:spacing w:val="10"/>
                <w:sz w:val="24"/>
                <w:highlight w:val="none"/>
              </w:rPr>
              <w:t>流量计</w:t>
            </w:r>
          </w:p>
        </w:tc>
        <w:tc>
          <w:tcPr>
            <w:tcW w:w="2244" w:type="dxa"/>
            <w:vMerge w:val="continue"/>
            <w:vAlign w:val="center"/>
          </w:tcPr>
          <w:p w14:paraId="7F0344DF">
            <w:pPr>
              <w:jc w:val="center"/>
              <w:rPr>
                <w:b w:val="0"/>
                <w:bCs/>
                <w:color w:val="auto"/>
                <w:sz w:val="24"/>
                <w:highlight w:val="none"/>
              </w:rPr>
            </w:pPr>
          </w:p>
        </w:tc>
      </w:tr>
      <w:tr w14:paraId="7F03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E1">
            <w:pPr>
              <w:jc w:val="left"/>
              <w:rPr>
                <w:b w:val="0"/>
                <w:bCs/>
                <w:color w:val="auto"/>
                <w:spacing w:val="10"/>
                <w:sz w:val="24"/>
                <w:highlight w:val="none"/>
              </w:rPr>
            </w:pPr>
          </w:p>
        </w:tc>
        <w:tc>
          <w:tcPr>
            <w:tcW w:w="3134" w:type="dxa"/>
            <w:vAlign w:val="center"/>
          </w:tcPr>
          <w:p w14:paraId="7F0344E2">
            <w:pPr>
              <w:jc w:val="center"/>
              <w:rPr>
                <w:b w:val="0"/>
                <w:bCs/>
                <w:color w:val="auto"/>
                <w:spacing w:val="10"/>
                <w:sz w:val="24"/>
                <w:highlight w:val="none"/>
              </w:rPr>
            </w:pPr>
            <w:r>
              <w:rPr>
                <w:b w:val="0"/>
                <w:bCs/>
                <w:color w:val="auto"/>
                <w:spacing w:val="10"/>
                <w:sz w:val="24"/>
                <w:highlight w:val="none"/>
              </w:rPr>
              <w:t>水温表、水压表</w:t>
            </w:r>
          </w:p>
        </w:tc>
        <w:tc>
          <w:tcPr>
            <w:tcW w:w="2244" w:type="dxa"/>
            <w:vMerge w:val="continue"/>
            <w:vAlign w:val="center"/>
          </w:tcPr>
          <w:p w14:paraId="7F0344E3">
            <w:pPr>
              <w:jc w:val="center"/>
              <w:rPr>
                <w:b w:val="0"/>
                <w:bCs/>
                <w:color w:val="auto"/>
                <w:sz w:val="24"/>
                <w:highlight w:val="none"/>
              </w:rPr>
            </w:pPr>
          </w:p>
        </w:tc>
      </w:tr>
      <w:tr w14:paraId="7F03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E5">
            <w:pPr>
              <w:jc w:val="left"/>
              <w:rPr>
                <w:b w:val="0"/>
                <w:bCs/>
                <w:color w:val="auto"/>
                <w:spacing w:val="10"/>
                <w:sz w:val="24"/>
                <w:highlight w:val="none"/>
              </w:rPr>
            </w:pPr>
          </w:p>
        </w:tc>
        <w:tc>
          <w:tcPr>
            <w:tcW w:w="3134" w:type="dxa"/>
            <w:vAlign w:val="center"/>
          </w:tcPr>
          <w:p w14:paraId="7F0344E6">
            <w:pPr>
              <w:jc w:val="center"/>
              <w:rPr>
                <w:b w:val="0"/>
                <w:bCs/>
                <w:color w:val="auto"/>
                <w:spacing w:val="10"/>
                <w:sz w:val="24"/>
                <w:highlight w:val="none"/>
              </w:rPr>
            </w:pPr>
            <w:r>
              <w:rPr>
                <w:b w:val="0"/>
                <w:bCs/>
                <w:color w:val="auto"/>
                <w:spacing w:val="10"/>
                <w:sz w:val="24"/>
                <w:highlight w:val="none"/>
              </w:rPr>
              <w:t>控温装置</w:t>
            </w:r>
          </w:p>
        </w:tc>
        <w:tc>
          <w:tcPr>
            <w:tcW w:w="2244" w:type="dxa"/>
            <w:vMerge w:val="continue"/>
            <w:vAlign w:val="center"/>
          </w:tcPr>
          <w:p w14:paraId="7F0344E7">
            <w:pPr>
              <w:jc w:val="center"/>
              <w:rPr>
                <w:b w:val="0"/>
                <w:bCs/>
                <w:color w:val="auto"/>
                <w:sz w:val="24"/>
                <w:highlight w:val="none"/>
              </w:rPr>
            </w:pPr>
          </w:p>
        </w:tc>
      </w:tr>
      <w:tr w14:paraId="7F03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0" w:type="dxa"/>
            <w:vMerge w:val="continue"/>
            <w:vAlign w:val="center"/>
          </w:tcPr>
          <w:p w14:paraId="7F0344E9">
            <w:pPr>
              <w:jc w:val="left"/>
              <w:rPr>
                <w:b w:val="0"/>
                <w:bCs/>
                <w:color w:val="auto"/>
                <w:spacing w:val="10"/>
                <w:sz w:val="24"/>
                <w:highlight w:val="none"/>
              </w:rPr>
            </w:pPr>
          </w:p>
        </w:tc>
        <w:tc>
          <w:tcPr>
            <w:tcW w:w="3134" w:type="dxa"/>
            <w:vAlign w:val="center"/>
          </w:tcPr>
          <w:p w14:paraId="7F0344EA">
            <w:pPr>
              <w:jc w:val="center"/>
              <w:rPr>
                <w:b w:val="0"/>
                <w:bCs/>
                <w:color w:val="auto"/>
                <w:spacing w:val="10"/>
                <w:sz w:val="24"/>
                <w:highlight w:val="none"/>
              </w:rPr>
            </w:pPr>
            <w:r>
              <w:rPr>
                <w:rFonts w:hint="eastAsia"/>
                <w:b w:val="0"/>
                <w:bCs/>
                <w:color w:val="auto"/>
                <w:spacing w:val="10"/>
                <w:sz w:val="24"/>
                <w:highlight w:val="none"/>
              </w:rPr>
              <w:t>流量差报警器（安全装置）</w:t>
            </w:r>
          </w:p>
        </w:tc>
        <w:tc>
          <w:tcPr>
            <w:tcW w:w="2244" w:type="dxa"/>
            <w:vMerge w:val="continue"/>
            <w:vAlign w:val="center"/>
          </w:tcPr>
          <w:p w14:paraId="7F0344EB">
            <w:pPr>
              <w:jc w:val="center"/>
              <w:rPr>
                <w:b w:val="0"/>
                <w:bCs/>
                <w:color w:val="auto"/>
                <w:sz w:val="24"/>
                <w:highlight w:val="none"/>
              </w:rPr>
            </w:pPr>
          </w:p>
        </w:tc>
      </w:tr>
    </w:tbl>
    <w:p w14:paraId="7F0344ED">
      <w:pPr>
        <w:spacing w:line="480" w:lineRule="exact"/>
        <w:rPr>
          <w:b w:val="0"/>
          <w:bCs/>
          <w:color w:val="auto"/>
          <w:spacing w:val="10"/>
          <w:sz w:val="24"/>
          <w:highlight w:val="none"/>
        </w:rPr>
      </w:pPr>
      <w:r>
        <w:rPr>
          <w:b w:val="0"/>
          <w:bCs/>
          <w:color w:val="auto"/>
          <w:spacing w:val="10"/>
          <w:sz w:val="24"/>
          <w:highlight w:val="none"/>
        </w:rPr>
        <w:t>6.3 电极杆及其驱动系统</w:t>
      </w:r>
    </w:p>
    <w:p w14:paraId="7F0344EE">
      <w:pPr>
        <w:spacing w:line="480" w:lineRule="exact"/>
        <w:ind w:firstLine="520" w:firstLineChars="200"/>
        <w:rPr>
          <w:b w:val="0"/>
          <w:bCs/>
          <w:color w:val="auto"/>
          <w:spacing w:val="10"/>
          <w:sz w:val="24"/>
          <w:highlight w:val="none"/>
        </w:rPr>
      </w:pPr>
      <w:r>
        <w:rPr>
          <w:b w:val="0"/>
          <w:bCs/>
          <w:color w:val="auto"/>
          <w:spacing w:val="10"/>
          <w:sz w:val="24"/>
          <w:highlight w:val="none"/>
        </w:rPr>
        <w:t>电极杆结构采用同心双层水冷式结构，外壁为不锈钢，内壁为铜管，两者之间采用焊接方式达到真空密封。电极杆底部带有电极夹头（材质与结构设计应确保导电可靠），可自动夹紧辅助电极，并确保在任何条件下，互锁的夹头也不会松开。</w:t>
      </w:r>
    </w:p>
    <w:p w14:paraId="7F0344EF">
      <w:pPr>
        <w:spacing w:line="480" w:lineRule="exact"/>
        <w:ind w:firstLine="520" w:firstLineChars="200"/>
        <w:rPr>
          <w:b w:val="0"/>
          <w:bCs/>
          <w:color w:val="auto"/>
          <w:spacing w:val="10"/>
          <w:sz w:val="24"/>
          <w:highlight w:val="none"/>
        </w:rPr>
      </w:pPr>
      <w:r>
        <w:rPr>
          <w:b w:val="0"/>
          <w:bCs/>
          <w:color w:val="auto"/>
          <w:spacing w:val="10"/>
          <w:sz w:val="24"/>
          <w:highlight w:val="none"/>
        </w:rPr>
        <w:t>电极杆及电极杆传动系统安装在称重元件上面，它由一个电极杆和导向系统、交流伺服电机组成，电机通过滚珠丝杠组件实现电极杆和自耗电极的上下移动。电极杆的快、慢速升降，应通过电气/机械系统的手动控制实现。熔化过程中的电极杆升降通过计算机集中控制系统实现，并可手动干预，手动干预为慢速模式。实现上述手动控制的操作装置应安装在合适的位置，以便于使用。</w:t>
      </w:r>
    </w:p>
    <w:p w14:paraId="7F0344F0">
      <w:pPr>
        <w:spacing w:line="480" w:lineRule="exact"/>
        <w:ind w:firstLine="520" w:firstLineChars="200"/>
        <w:rPr>
          <w:b w:val="0"/>
          <w:bCs/>
          <w:color w:val="auto"/>
          <w:spacing w:val="10"/>
          <w:sz w:val="24"/>
          <w:highlight w:val="none"/>
        </w:rPr>
      </w:pPr>
      <w:r>
        <w:rPr>
          <w:b w:val="0"/>
          <w:bCs/>
          <w:color w:val="auto"/>
          <w:spacing w:val="10"/>
          <w:sz w:val="24"/>
          <w:highlight w:val="none"/>
        </w:rPr>
        <w:t>电极杆驱动控制系统采用弧压控制模式，并自动运行。电极杆驱动控制系统具备短路检测功能，以便于弧压达到短路条件时，电极杆驱动系统能够及时产生动作直到消除短路条件。当整流电源工作时，短路检测和整流器都以自动模式启动，且短路检测应为独立运行。</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1"/>
        <w:gridCol w:w="1300"/>
        <w:gridCol w:w="2987"/>
      </w:tblGrid>
      <w:tr w14:paraId="7F03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351" w:type="dxa"/>
            <w:vAlign w:val="center"/>
          </w:tcPr>
          <w:p w14:paraId="7F0344F1">
            <w:pPr>
              <w:jc w:val="center"/>
              <w:rPr>
                <w:b w:val="0"/>
                <w:bCs/>
                <w:color w:val="auto"/>
                <w:spacing w:val="10"/>
                <w:sz w:val="24"/>
                <w:highlight w:val="none"/>
              </w:rPr>
            </w:pPr>
            <w:r>
              <w:rPr>
                <w:b w:val="0"/>
                <w:bCs/>
                <w:color w:val="auto"/>
                <w:spacing w:val="10"/>
                <w:sz w:val="24"/>
                <w:highlight w:val="none"/>
              </w:rPr>
              <w:t>技术要求</w:t>
            </w:r>
          </w:p>
        </w:tc>
        <w:tc>
          <w:tcPr>
            <w:tcW w:w="4287" w:type="dxa"/>
            <w:gridSpan w:val="2"/>
            <w:vAlign w:val="center"/>
          </w:tcPr>
          <w:p w14:paraId="7F0344F2">
            <w:pPr>
              <w:jc w:val="center"/>
              <w:rPr>
                <w:b w:val="0"/>
                <w:bCs/>
                <w:color w:val="auto"/>
                <w:spacing w:val="10"/>
                <w:sz w:val="24"/>
                <w:highlight w:val="none"/>
              </w:rPr>
            </w:pPr>
            <w:r>
              <w:rPr>
                <w:b w:val="0"/>
                <w:bCs/>
                <w:color w:val="auto"/>
                <w:spacing w:val="10"/>
                <w:sz w:val="24"/>
                <w:highlight w:val="none"/>
              </w:rPr>
              <w:t>配置要求</w:t>
            </w:r>
          </w:p>
        </w:tc>
      </w:tr>
      <w:tr w14:paraId="7F03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351" w:type="dxa"/>
            <w:vMerge w:val="restart"/>
            <w:vAlign w:val="center"/>
          </w:tcPr>
          <w:p w14:paraId="7F0344F4">
            <w:pPr>
              <w:numPr>
                <w:ilvl w:val="0"/>
                <w:numId w:val="5"/>
              </w:numPr>
              <w:ind w:left="0" w:firstLine="0"/>
              <w:jc w:val="left"/>
              <w:rPr>
                <w:b w:val="0"/>
                <w:bCs/>
                <w:color w:val="auto"/>
                <w:spacing w:val="10"/>
                <w:sz w:val="24"/>
                <w:highlight w:val="none"/>
              </w:rPr>
            </w:pPr>
            <w:r>
              <w:rPr>
                <w:rFonts w:hint="eastAsia"/>
                <w:b w:val="0"/>
                <w:bCs/>
                <w:color w:val="auto"/>
                <w:spacing w:val="10"/>
                <w:sz w:val="24"/>
                <w:highlight w:val="none"/>
              </w:rPr>
              <w:t>电极杆工作行程：见附录1、2。具体由投标方提供（气动夹头可伸进坩埚口，尺寸由投标方提供）</w:t>
            </w:r>
          </w:p>
          <w:p w14:paraId="7F0344F5">
            <w:pPr>
              <w:numPr>
                <w:ilvl w:val="0"/>
                <w:numId w:val="5"/>
              </w:numPr>
              <w:ind w:left="0" w:firstLine="0"/>
              <w:jc w:val="left"/>
              <w:rPr>
                <w:b w:val="0"/>
                <w:bCs/>
                <w:color w:val="auto"/>
                <w:spacing w:val="10"/>
                <w:sz w:val="24"/>
                <w:highlight w:val="none"/>
              </w:rPr>
            </w:pPr>
            <w:r>
              <w:rPr>
                <w:b w:val="0"/>
                <w:bCs/>
                <w:color w:val="auto"/>
                <w:spacing w:val="10"/>
                <w:sz w:val="24"/>
                <w:highlight w:val="none"/>
              </w:rPr>
              <w:t>电极杆快速提升速度：</w:t>
            </w:r>
            <w:r>
              <w:rPr>
                <w:rFonts w:hint="eastAsia"/>
                <w:b w:val="0"/>
                <w:bCs/>
                <w:color w:val="auto"/>
                <w:spacing w:val="10"/>
                <w:sz w:val="24"/>
                <w:highlight w:val="none"/>
              </w:rPr>
              <w:t>1500mm/min。</w:t>
            </w:r>
          </w:p>
          <w:p w14:paraId="7F0344F6">
            <w:pPr>
              <w:numPr>
                <w:ilvl w:val="0"/>
                <w:numId w:val="5"/>
              </w:numPr>
              <w:ind w:left="0" w:firstLine="0"/>
              <w:jc w:val="left"/>
              <w:rPr>
                <w:b w:val="0"/>
                <w:bCs/>
                <w:color w:val="auto"/>
                <w:spacing w:val="10"/>
                <w:sz w:val="24"/>
                <w:highlight w:val="none"/>
              </w:rPr>
            </w:pPr>
            <w:r>
              <w:rPr>
                <w:b w:val="0"/>
                <w:bCs/>
                <w:color w:val="auto"/>
                <w:spacing w:val="10"/>
                <w:sz w:val="24"/>
                <w:highlight w:val="none"/>
              </w:rPr>
              <w:t>电极杆熔炼下降速度：</w:t>
            </w:r>
            <w:r>
              <w:rPr>
                <w:rFonts w:hint="eastAsia"/>
                <w:b w:val="0"/>
                <w:bCs/>
                <w:color w:val="auto"/>
                <w:spacing w:val="10"/>
                <w:sz w:val="24"/>
                <w:highlight w:val="none"/>
              </w:rPr>
              <w:t>0~100 mm/min。</w:t>
            </w:r>
          </w:p>
          <w:p w14:paraId="7F0344F7">
            <w:pPr>
              <w:numPr>
                <w:ilvl w:val="0"/>
                <w:numId w:val="5"/>
              </w:numPr>
              <w:ind w:left="0" w:firstLine="0"/>
              <w:jc w:val="left"/>
              <w:rPr>
                <w:b w:val="0"/>
                <w:bCs/>
                <w:color w:val="auto"/>
                <w:spacing w:val="10"/>
                <w:sz w:val="24"/>
                <w:highlight w:val="none"/>
              </w:rPr>
            </w:pPr>
            <w:r>
              <w:rPr>
                <w:rFonts w:hint="eastAsia"/>
                <w:b w:val="0"/>
                <w:bCs/>
                <w:color w:val="auto"/>
                <w:spacing w:val="10"/>
                <w:sz w:val="24"/>
                <w:highlight w:val="none"/>
              </w:rPr>
              <w:t>以上参数以最终总设计为准，须</w:t>
            </w:r>
            <w:r>
              <w:rPr>
                <w:b w:val="0"/>
                <w:bCs/>
                <w:color w:val="auto"/>
                <w:spacing w:val="10"/>
                <w:sz w:val="24"/>
                <w:highlight w:val="none"/>
              </w:rPr>
              <w:t>连续可调。</w:t>
            </w:r>
          </w:p>
        </w:tc>
        <w:tc>
          <w:tcPr>
            <w:tcW w:w="1300" w:type="dxa"/>
            <w:vAlign w:val="center"/>
          </w:tcPr>
          <w:p w14:paraId="7F0344F8">
            <w:pPr>
              <w:jc w:val="center"/>
              <w:rPr>
                <w:b w:val="0"/>
                <w:bCs/>
                <w:color w:val="auto"/>
                <w:sz w:val="24"/>
                <w:highlight w:val="none"/>
              </w:rPr>
            </w:pPr>
            <w:r>
              <w:rPr>
                <w:b w:val="0"/>
                <w:bCs/>
                <w:color w:val="auto"/>
                <w:sz w:val="24"/>
                <w:highlight w:val="none"/>
              </w:rPr>
              <w:t>伺服电机</w:t>
            </w:r>
          </w:p>
          <w:p w14:paraId="7F0344F9">
            <w:pPr>
              <w:jc w:val="center"/>
              <w:rPr>
                <w:b w:val="0"/>
                <w:bCs/>
                <w:color w:val="auto"/>
                <w:sz w:val="24"/>
                <w:highlight w:val="none"/>
              </w:rPr>
            </w:pPr>
            <w:r>
              <w:rPr>
                <w:b w:val="0"/>
                <w:bCs/>
                <w:color w:val="auto"/>
                <w:sz w:val="24"/>
                <w:highlight w:val="none"/>
              </w:rPr>
              <w:t>及控制器</w:t>
            </w:r>
          </w:p>
        </w:tc>
        <w:tc>
          <w:tcPr>
            <w:tcW w:w="2987" w:type="dxa"/>
            <w:vAlign w:val="center"/>
          </w:tcPr>
          <w:p w14:paraId="7F0344FA">
            <w:pPr>
              <w:jc w:val="center"/>
              <w:rPr>
                <w:b w:val="0"/>
                <w:bCs/>
                <w:color w:val="auto"/>
                <w:sz w:val="24"/>
                <w:highlight w:val="none"/>
              </w:rPr>
            </w:pPr>
            <w:r>
              <w:rPr>
                <w:b w:val="0"/>
                <w:bCs/>
                <w:color w:val="auto"/>
                <w:sz w:val="24"/>
                <w:highlight w:val="none"/>
              </w:rPr>
              <w:t>进口</w:t>
            </w:r>
            <w:r>
              <w:rPr>
                <w:rFonts w:hint="eastAsia"/>
                <w:b w:val="0"/>
                <w:bCs/>
                <w:color w:val="auto"/>
                <w:sz w:val="24"/>
                <w:highlight w:val="none"/>
              </w:rPr>
              <w:t>或国内一线品牌</w:t>
            </w:r>
          </w:p>
        </w:tc>
      </w:tr>
      <w:tr w14:paraId="7F03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51" w:type="dxa"/>
            <w:vMerge w:val="continue"/>
            <w:vAlign w:val="center"/>
          </w:tcPr>
          <w:p w14:paraId="7F0344FC">
            <w:pPr>
              <w:numPr>
                <w:ilvl w:val="0"/>
                <w:numId w:val="5"/>
              </w:numPr>
              <w:ind w:left="0" w:firstLine="0"/>
              <w:jc w:val="left"/>
              <w:rPr>
                <w:b w:val="0"/>
                <w:bCs/>
                <w:color w:val="auto"/>
                <w:spacing w:val="10"/>
                <w:sz w:val="24"/>
                <w:highlight w:val="none"/>
              </w:rPr>
            </w:pPr>
          </w:p>
        </w:tc>
        <w:tc>
          <w:tcPr>
            <w:tcW w:w="1300" w:type="dxa"/>
            <w:vAlign w:val="center"/>
          </w:tcPr>
          <w:p w14:paraId="7F0344FD">
            <w:pPr>
              <w:jc w:val="center"/>
              <w:rPr>
                <w:b w:val="0"/>
                <w:bCs/>
                <w:color w:val="auto"/>
                <w:sz w:val="24"/>
                <w:highlight w:val="none"/>
              </w:rPr>
            </w:pPr>
            <w:r>
              <w:rPr>
                <w:b w:val="0"/>
                <w:bCs/>
                <w:color w:val="auto"/>
                <w:sz w:val="24"/>
                <w:highlight w:val="none"/>
              </w:rPr>
              <w:t>主体构件</w:t>
            </w:r>
          </w:p>
          <w:p w14:paraId="7F0344FE">
            <w:pPr>
              <w:jc w:val="center"/>
              <w:rPr>
                <w:b w:val="0"/>
                <w:bCs/>
                <w:color w:val="auto"/>
                <w:sz w:val="24"/>
                <w:highlight w:val="none"/>
              </w:rPr>
            </w:pPr>
            <w:r>
              <w:rPr>
                <w:b w:val="0"/>
                <w:bCs/>
                <w:color w:val="auto"/>
                <w:sz w:val="24"/>
                <w:highlight w:val="none"/>
              </w:rPr>
              <w:t>传动构件</w:t>
            </w:r>
          </w:p>
        </w:tc>
        <w:tc>
          <w:tcPr>
            <w:tcW w:w="2987" w:type="dxa"/>
            <w:vAlign w:val="center"/>
          </w:tcPr>
          <w:p w14:paraId="7F0344FF">
            <w:pPr>
              <w:ind w:firstLine="480" w:firstLineChars="200"/>
              <w:jc w:val="left"/>
              <w:rPr>
                <w:b w:val="0"/>
                <w:bCs/>
                <w:color w:val="auto"/>
                <w:sz w:val="24"/>
                <w:highlight w:val="none"/>
              </w:rPr>
            </w:pPr>
            <w:r>
              <w:rPr>
                <w:b w:val="0"/>
                <w:bCs/>
                <w:color w:val="auto"/>
                <w:sz w:val="24"/>
                <w:highlight w:val="none"/>
              </w:rPr>
              <w:t>采用优质材料制造，或为优质产品</w:t>
            </w:r>
          </w:p>
          <w:p w14:paraId="7F034500">
            <w:pPr>
              <w:ind w:firstLine="480" w:firstLineChars="200"/>
              <w:jc w:val="left"/>
              <w:rPr>
                <w:b w:val="0"/>
                <w:bCs/>
                <w:color w:val="auto"/>
                <w:sz w:val="24"/>
                <w:highlight w:val="none"/>
              </w:rPr>
            </w:pPr>
            <w:r>
              <w:rPr>
                <w:rFonts w:hint="eastAsia"/>
                <w:b w:val="0"/>
                <w:bCs/>
                <w:color w:val="auto"/>
                <w:sz w:val="24"/>
                <w:highlight w:val="none"/>
              </w:rPr>
              <w:t>滚珠丝杠为南京工艺或国内同等品牌</w:t>
            </w:r>
          </w:p>
        </w:tc>
      </w:tr>
    </w:tbl>
    <w:p w14:paraId="7F034502">
      <w:pPr>
        <w:spacing w:line="480" w:lineRule="exact"/>
        <w:rPr>
          <w:b w:val="0"/>
          <w:bCs/>
          <w:color w:val="auto"/>
          <w:spacing w:val="10"/>
          <w:sz w:val="24"/>
          <w:highlight w:val="none"/>
        </w:rPr>
      </w:pPr>
      <w:r>
        <w:rPr>
          <w:b w:val="0"/>
          <w:bCs/>
          <w:color w:val="auto"/>
          <w:spacing w:val="10"/>
          <w:sz w:val="24"/>
          <w:highlight w:val="none"/>
        </w:rPr>
        <w:t>6.4 抽真空系统与充氩</w:t>
      </w:r>
      <w:r>
        <w:rPr>
          <w:rFonts w:hint="eastAsia"/>
          <w:b w:val="0"/>
          <w:bCs/>
          <w:color w:val="auto"/>
          <w:spacing w:val="10"/>
          <w:sz w:val="24"/>
          <w:highlight w:val="none"/>
        </w:rPr>
        <w:t>、充氦</w:t>
      </w:r>
      <w:r>
        <w:rPr>
          <w:b w:val="0"/>
          <w:bCs/>
          <w:color w:val="auto"/>
          <w:spacing w:val="10"/>
          <w:sz w:val="24"/>
          <w:highlight w:val="none"/>
        </w:rPr>
        <w:t>系统</w:t>
      </w:r>
    </w:p>
    <w:p w14:paraId="7F034503">
      <w:pPr>
        <w:spacing w:line="480" w:lineRule="exact"/>
        <w:ind w:firstLine="520" w:firstLineChars="200"/>
        <w:rPr>
          <w:b w:val="0"/>
          <w:bCs/>
          <w:color w:val="auto"/>
          <w:spacing w:val="10"/>
          <w:sz w:val="24"/>
          <w:highlight w:val="none"/>
        </w:rPr>
      </w:pPr>
      <w:r>
        <w:rPr>
          <w:b w:val="0"/>
          <w:bCs/>
          <w:color w:val="auto"/>
          <w:spacing w:val="10"/>
          <w:sz w:val="24"/>
          <w:highlight w:val="none"/>
        </w:rPr>
        <w:t>真空系统的设计须满足设备需方提出的真空技术要求。真空系统的控制通过人机接口（OIP）发出命令来实现的。如果操作者预先设定的话，在炉子抽空达到预设真空度时，系统将进行自动</w:t>
      </w:r>
      <w:r>
        <w:rPr>
          <w:rFonts w:hint="eastAsia"/>
          <w:b w:val="0"/>
          <w:bCs/>
          <w:color w:val="auto"/>
          <w:spacing w:val="10"/>
          <w:sz w:val="24"/>
          <w:highlight w:val="none"/>
        </w:rPr>
        <w:t>检测漏气率</w:t>
      </w:r>
      <w:r>
        <w:rPr>
          <w:b w:val="0"/>
          <w:bCs/>
          <w:color w:val="auto"/>
          <w:spacing w:val="10"/>
          <w:sz w:val="24"/>
          <w:highlight w:val="none"/>
        </w:rPr>
        <w:t>。最大允许的压力增加和测试时间可预先编好程序。</w:t>
      </w:r>
      <w:r>
        <w:rPr>
          <w:rFonts w:hint="eastAsia"/>
          <w:b w:val="0"/>
          <w:bCs/>
          <w:color w:val="auto"/>
          <w:spacing w:val="10"/>
          <w:sz w:val="24"/>
          <w:highlight w:val="none"/>
        </w:rPr>
        <w:t>检测漏气率</w:t>
      </w:r>
      <w:r>
        <w:rPr>
          <w:b w:val="0"/>
          <w:bCs/>
          <w:color w:val="auto"/>
          <w:spacing w:val="10"/>
          <w:sz w:val="24"/>
          <w:highlight w:val="none"/>
        </w:rPr>
        <w:t>的结果在下次检漏前不可清空。如果</w:t>
      </w:r>
      <w:r>
        <w:rPr>
          <w:rFonts w:hint="eastAsia"/>
          <w:b w:val="0"/>
          <w:bCs/>
          <w:color w:val="auto"/>
          <w:spacing w:val="10"/>
          <w:sz w:val="24"/>
          <w:highlight w:val="none"/>
        </w:rPr>
        <w:t>检测漏气率</w:t>
      </w:r>
      <w:r>
        <w:rPr>
          <w:b w:val="0"/>
          <w:bCs/>
          <w:color w:val="auto"/>
          <w:spacing w:val="10"/>
          <w:sz w:val="24"/>
          <w:highlight w:val="none"/>
        </w:rPr>
        <w:t>结果超出设定值，是否启动下一步的执行程序由操作人员决定。</w:t>
      </w:r>
    </w:p>
    <w:p w14:paraId="7F034504">
      <w:pPr>
        <w:spacing w:line="480" w:lineRule="exact"/>
        <w:ind w:firstLine="520" w:firstLineChars="200"/>
        <w:rPr>
          <w:b w:val="0"/>
          <w:bCs/>
          <w:color w:val="auto"/>
          <w:spacing w:val="10"/>
          <w:sz w:val="24"/>
          <w:highlight w:val="none"/>
        </w:rPr>
      </w:pPr>
      <w:r>
        <w:rPr>
          <w:b w:val="0"/>
          <w:bCs/>
          <w:color w:val="auto"/>
          <w:spacing w:val="10"/>
          <w:sz w:val="24"/>
          <w:highlight w:val="none"/>
        </w:rPr>
        <w:t>为了保护真空系统免受污染，在炉头主管道与真空主管道接口位置安装一个金属过滤网。当炉子在升起位置时，这个金属过滤网容易并可随时更换和清洁。为了有效利用真空系统的抽速，真空系统应尽可能近的安装在炉室附近。</w:t>
      </w:r>
      <w:r>
        <w:rPr>
          <w:rFonts w:hint="eastAsia"/>
          <w:b w:val="0"/>
          <w:bCs/>
          <w:color w:val="auto"/>
          <w:spacing w:val="10"/>
          <w:sz w:val="24"/>
          <w:highlight w:val="none"/>
        </w:rPr>
        <w:t>（机械泵使用螺杆泵）</w:t>
      </w:r>
    </w:p>
    <w:p w14:paraId="7F034505">
      <w:pPr>
        <w:spacing w:line="480" w:lineRule="exact"/>
        <w:ind w:firstLine="520" w:firstLineChars="200"/>
        <w:rPr>
          <w:b w:val="0"/>
          <w:bCs/>
          <w:color w:val="auto"/>
          <w:spacing w:val="10"/>
          <w:sz w:val="24"/>
          <w:highlight w:val="none"/>
        </w:rPr>
      </w:pPr>
      <w:r>
        <w:rPr>
          <w:b w:val="0"/>
          <w:bCs/>
          <w:color w:val="auto"/>
          <w:spacing w:val="10"/>
          <w:sz w:val="24"/>
          <w:highlight w:val="none"/>
        </w:rPr>
        <w:t>充氩</w:t>
      </w:r>
      <w:r>
        <w:rPr>
          <w:rFonts w:hint="eastAsia"/>
          <w:b w:val="0"/>
          <w:bCs/>
          <w:color w:val="auto"/>
          <w:spacing w:val="10"/>
          <w:sz w:val="24"/>
          <w:highlight w:val="none"/>
        </w:rPr>
        <w:t>、氦</w:t>
      </w:r>
      <w:r>
        <w:rPr>
          <w:b w:val="0"/>
          <w:bCs/>
          <w:color w:val="auto"/>
          <w:spacing w:val="10"/>
          <w:sz w:val="24"/>
          <w:highlight w:val="none"/>
        </w:rPr>
        <w:t>系统的控制通过人机接口（OIP）发出命令，根据预先设定好的充氩</w:t>
      </w:r>
      <w:r>
        <w:rPr>
          <w:rFonts w:hint="eastAsia"/>
          <w:b w:val="0"/>
          <w:bCs/>
          <w:color w:val="auto"/>
          <w:spacing w:val="10"/>
          <w:sz w:val="24"/>
          <w:highlight w:val="none"/>
        </w:rPr>
        <w:t>、氦</w:t>
      </w:r>
      <w:r>
        <w:rPr>
          <w:b w:val="0"/>
          <w:bCs/>
          <w:color w:val="auto"/>
          <w:spacing w:val="10"/>
          <w:sz w:val="24"/>
          <w:highlight w:val="none"/>
        </w:rPr>
        <w:t>压力，由计算机控制电阀实现向炉室充氩</w:t>
      </w:r>
      <w:r>
        <w:rPr>
          <w:rFonts w:hint="eastAsia"/>
          <w:b w:val="0"/>
          <w:bCs/>
          <w:color w:val="auto"/>
          <w:spacing w:val="10"/>
          <w:sz w:val="24"/>
          <w:highlight w:val="none"/>
        </w:rPr>
        <w:t>、向坩埚充氦</w:t>
      </w:r>
      <w:r>
        <w:rPr>
          <w:b w:val="0"/>
          <w:bCs/>
          <w:color w:val="auto"/>
          <w:spacing w:val="10"/>
          <w:sz w:val="24"/>
          <w:highlight w:val="none"/>
        </w:rPr>
        <w:t>。</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6"/>
        <w:gridCol w:w="1717"/>
        <w:gridCol w:w="4055"/>
      </w:tblGrid>
      <w:tr w14:paraId="7F03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Align w:val="center"/>
          </w:tcPr>
          <w:p w14:paraId="7F034506">
            <w:pPr>
              <w:jc w:val="center"/>
              <w:rPr>
                <w:b w:val="0"/>
                <w:bCs/>
                <w:color w:val="auto"/>
                <w:spacing w:val="10"/>
                <w:sz w:val="24"/>
                <w:highlight w:val="none"/>
              </w:rPr>
            </w:pPr>
            <w:r>
              <w:rPr>
                <w:b w:val="0"/>
                <w:bCs/>
                <w:color w:val="auto"/>
                <w:spacing w:val="10"/>
                <w:sz w:val="24"/>
                <w:highlight w:val="none"/>
              </w:rPr>
              <w:t>技术要求</w:t>
            </w:r>
          </w:p>
        </w:tc>
        <w:tc>
          <w:tcPr>
            <w:tcW w:w="5772" w:type="dxa"/>
            <w:gridSpan w:val="2"/>
            <w:vAlign w:val="center"/>
          </w:tcPr>
          <w:p w14:paraId="7F034507">
            <w:pPr>
              <w:jc w:val="center"/>
              <w:rPr>
                <w:b w:val="0"/>
                <w:bCs/>
                <w:color w:val="auto"/>
                <w:spacing w:val="10"/>
                <w:sz w:val="24"/>
                <w:highlight w:val="none"/>
              </w:rPr>
            </w:pPr>
            <w:r>
              <w:rPr>
                <w:b w:val="0"/>
                <w:bCs/>
                <w:color w:val="auto"/>
                <w:spacing w:val="10"/>
                <w:sz w:val="24"/>
                <w:highlight w:val="none"/>
              </w:rPr>
              <w:t>配置要求</w:t>
            </w:r>
          </w:p>
        </w:tc>
      </w:tr>
      <w:tr w14:paraId="7F03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restart"/>
            <w:vAlign w:val="center"/>
          </w:tcPr>
          <w:p w14:paraId="7F034509">
            <w:pPr>
              <w:jc w:val="left"/>
              <w:rPr>
                <w:b w:val="0"/>
                <w:bCs/>
                <w:color w:val="auto"/>
                <w:spacing w:val="10"/>
                <w:sz w:val="24"/>
                <w:highlight w:val="none"/>
              </w:rPr>
            </w:pPr>
            <w:r>
              <w:rPr>
                <w:b w:val="0"/>
                <w:bCs/>
                <w:color w:val="auto"/>
                <w:spacing w:val="10"/>
                <w:sz w:val="24"/>
                <w:highlight w:val="none"/>
              </w:rPr>
              <w:t>1、真空系统构成：</w:t>
            </w:r>
          </w:p>
          <w:p w14:paraId="7F03450A">
            <w:pPr>
              <w:ind w:firstLine="520" w:firstLineChars="200"/>
              <w:jc w:val="left"/>
              <w:rPr>
                <w:b w:val="0"/>
                <w:bCs/>
                <w:color w:val="auto"/>
                <w:spacing w:val="10"/>
                <w:sz w:val="24"/>
                <w:highlight w:val="none"/>
              </w:rPr>
            </w:pPr>
            <w:r>
              <w:rPr>
                <w:b w:val="0"/>
                <w:bCs/>
                <w:color w:val="auto"/>
                <w:spacing w:val="10"/>
                <w:sz w:val="24"/>
                <w:highlight w:val="none"/>
              </w:rPr>
              <w:t>两台</w:t>
            </w:r>
            <w:r>
              <w:rPr>
                <w:rFonts w:hint="eastAsia"/>
                <w:b w:val="0"/>
                <w:bCs/>
                <w:color w:val="auto"/>
                <w:spacing w:val="10"/>
                <w:sz w:val="24"/>
                <w:highlight w:val="none"/>
              </w:rPr>
              <w:t>螺杆泵</w:t>
            </w:r>
            <w:r>
              <w:rPr>
                <w:b w:val="0"/>
                <w:bCs/>
                <w:color w:val="auto"/>
                <w:spacing w:val="10"/>
                <w:sz w:val="24"/>
                <w:highlight w:val="none"/>
              </w:rPr>
              <w:t>+1台罗茨泵（小）+1台罗茨泵（大）+油增压泵+</w:t>
            </w:r>
            <w:r>
              <w:rPr>
                <w:rFonts w:hint="eastAsia"/>
                <w:b w:val="0"/>
                <w:bCs/>
                <w:color w:val="auto"/>
                <w:spacing w:val="10"/>
                <w:sz w:val="24"/>
                <w:highlight w:val="none"/>
              </w:rPr>
              <w:t>扩散泵+</w:t>
            </w:r>
            <w:r>
              <w:rPr>
                <w:b w:val="0"/>
                <w:bCs/>
                <w:color w:val="auto"/>
                <w:spacing w:val="10"/>
                <w:sz w:val="24"/>
                <w:highlight w:val="none"/>
              </w:rPr>
              <w:t>维持泵</w:t>
            </w:r>
            <w:r>
              <w:rPr>
                <w:rFonts w:hint="eastAsia"/>
                <w:b w:val="0"/>
                <w:bCs/>
                <w:color w:val="auto"/>
                <w:spacing w:val="10"/>
                <w:sz w:val="24"/>
                <w:highlight w:val="none"/>
              </w:rPr>
              <w:t>（由投标方提供更为高效和便于维护的真空系统构成方案，四级真空系统配置）</w:t>
            </w:r>
          </w:p>
          <w:p w14:paraId="7F03450B">
            <w:pPr>
              <w:pStyle w:val="334"/>
              <w:spacing w:before="156" w:beforeLines="50"/>
              <w:ind w:firstLine="0"/>
              <w:rPr>
                <w:rFonts w:ascii="Times New Roman" w:hAnsi="Times New Roman"/>
                <w:b w:val="0"/>
                <w:bCs/>
                <w:color w:val="auto"/>
                <w:spacing w:val="10"/>
                <w:sz w:val="24"/>
                <w:highlight w:val="none"/>
              </w:rPr>
            </w:pPr>
            <w:r>
              <w:rPr>
                <w:rFonts w:ascii="Times New Roman" w:hAnsi="Times New Roman"/>
                <w:b w:val="0"/>
                <w:bCs/>
                <w:color w:val="auto"/>
                <w:spacing w:val="10"/>
                <w:sz w:val="24"/>
                <w:highlight w:val="none"/>
              </w:rPr>
              <w:t>2、极限真空度：</w:t>
            </w:r>
            <w:r>
              <w:rPr>
                <w:rFonts w:hint="eastAsia" w:ascii="Times New Roman" w:hAnsi="Times New Roman" w:cs="Times New Roman"/>
                <w:b w:val="0"/>
                <w:bCs/>
                <w:color w:val="auto"/>
                <w:spacing w:val="10"/>
                <w:sz w:val="24"/>
                <w:highlight w:val="none"/>
              </w:rPr>
              <w:t>10</w:t>
            </w:r>
            <w:r>
              <w:rPr>
                <w:rFonts w:hint="eastAsia" w:ascii="Times New Roman" w:hAnsi="Times New Roman" w:cs="Times New Roman"/>
                <w:b w:val="0"/>
                <w:bCs/>
                <w:color w:val="auto"/>
                <w:spacing w:val="10"/>
                <w:sz w:val="24"/>
                <w:highlight w:val="none"/>
                <w:vertAlign w:val="superscript"/>
              </w:rPr>
              <w:t>-3</w:t>
            </w:r>
            <w:r>
              <w:rPr>
                <w:rFonts w:hint="eastAsia" w:ascii="Times New Roman" w:hAnsi="Times New Roman" w:cs="Times New Roman"/>
                <w:b w:val="0"/>
                <w:bCs/>
                <w:color w:val="auto"/>
                <w:spacing w:val="10"/>
                <w:sz w:val="24"/>
                <w:highlight w:val="none"/>
              </w:rPr>
              <w:t>Pa级别</w:t>
            </w:r>
          </w:p>
          <w:p w14:paraId="7F03450C">
            <w:pPr>
              <w:pStyle w:val="334"/>
              <w:ind w:firstLine="455" w:firstLineChars="175"/>
              <w:rPr>
                <w:rFonts w:ascii="Times New Roman" w:hAnsi="Times New Roman" w:cs="Times New Roman"/>
                <w:b w:val="0"/>
                <w:bCs/>
                <w:color w:val="auto"/>
                <w:spacing w:val="10"/>
                <w:sz w:val="24"/>
                <w:highlight w:val="none"/>
              </w:rPr>
            </w:pPr>
            <w:r>
              <w:rPr>
                <w:rFonts w:ascii="Times New Roman" w:hAnsi="Times New Roman"/>
                <w:b w:val="0"/>
                <w:bCs/>
                <w:color w:val="auto"/>
                <w:spacing w:val="10"/>
                <w:sz w:val="24"/>
                <w:highlight w:val="none"/>
              </w:rPr>
              <w:t>工作真空度：</w:t>
            </w:r>
            <w:r>
              <w:rPr>
                <w:rFonts w:hint="eastAsia" w:ascii="Times New Roman" w:hAnsi="Times New Roman" w:cs="Times New Roman"/>
                <w:b w:val="0"/>
                <w:bCs/>
                <w:color w:val="auto"/>
                <w:spacing w:val="10"/>
                <w:sz w:val="24"/>
                <w:highlight w:val="none"/>
              </w:rPr>
              <w:t>10-10</w:t>
            </w:r>
            <w:r>
              <w:rPr>
                <w:rFonts w:hint="eastAsia" w:ascii="Times New Roman" w:hAnsi="Times New Roman" w:cs="Times New Roman"/>
                <w:b w:val="0"/>
                <w:bCs/>
                <w:color w:val="auto"/>
                <w:spacing w:val="10"/>
                <w:sz w:val="24"/>
                <w:highlight w:val="none"/>
                <w:vertAlign w:val="superscript"/>
              </w:rPr>
              <w:t>-3</w:t>
            </w:r>
            <w:r>
              <w:rPr>
                <w:rFonts w:hint="eastAsia" w:ascii="Times New Roman" w:hAnsi="Times New Roman" w:cs="Times New Roman"/>
                <w:b w:val="0"/>
                <w:bCs/>
                <w:color w:val="auto"/>
                <w:spacing w:val="10"/>
                <w:sz w:val="24"/>
                <w:highlight w:val="none"/>
              </w:rPr>
              <w:t>Pa级别</w:t>
            </w:r>
          </w:p>
          <w:p w14:paraId="7F03450D">
            <w:pPr>
              <w:pStyle w:val="334"/>
              <w:ind w:firstLine="455" w:firstLineChars="175"/>
              <w:rPr>
                <w:rFonts w:ascii="Times New Roman" w:hAnsi="Times New Roman"/>
                <w:b w:val="0"/>
                <w:bCs/>
                <w:color w:val="auto"/>
                <w:spacing w:val="10"/>
                <w:sz w:val="24"/>
                <w:highlight w:val="none"/>
              </w:rPr>
            </w:pPr>
            <w:r>
              <w:rPr>
                <w:rFonts w:ascii="Times New Roman" w:hAnsi="Times New Roman"/>
                <w:b w:val="0"/>
                <w:bCs/>
                <w:color w:val="auto"/>
                <w:spacing w:val="10"/>
                <w:sz w:val="24"/>
                <w:highlight w:val="none"/>
              </w:rPr>
              <w:t>漏气率：</w:t>
            </w:r>
            <w:r>
              <w:rPr>
                <w:rFonts w:hint="eastAsia" w:ascii="Times New Roman" w:hAnsi="Times New Roman" w:cs="Times New Roman"/>
                <w:b w:val="0"/>
                <w:bCs/>
                <w:color w:val="auto"/>
                <w:spacing w:val="10"/>
                <w:sz w:val="24"/>
                <w:highlight w:val="none"/>
              </w:rPr>
              <w:t>≤0.1Pa/min</w:t>
            </w:r>
          </w:p>
          <w:p w14:paraId="7F03450E">
            <w:pPr>
              <w:ind w:firstLine="455" w:firstLineChars="175"/>
              <w:jc w:val="left"/>
              <w:rPr>
                <w:b w:val="0"/>
                <w:bCs/>
                <w:color w:val="auto"/>
                <w:spacing w:val="10"/>
                <w:sz w:val="24"/>
                <w:highlight w:val="none"/>
              </w:rPr>
            </w:pPr>
            <w:r>
              <w:rPr>
                <w:b w:val="0"/>
                <w:bCs/>
                <w:color w:val="auto"/>
                <w:spacing w:val="10"/>
                <w:sz w:val="24"/>
                <w:highlight w:val="none"/>
              </w:rPr>
              <w:t>建立真空时间：</w:t>
            </w:r>
            <w:r>
              <w:rPr>
                <w:rFonts w:hint="eastAsia"/>
                <w:b w:val="0"/>
                <w:bCs/>
                <w:color w:val="auto"/>
                <w:spacing w:val="10"/>
                <w:sz w:val="24"/>
                <w:highlight w:val="none"/>
              </w:rPr>
              <w:t>≤40min（从大气到0.01Pa）</w:t>
            </w:r>
          </w:p>
        </w:tc>
        <w:tc>
          <w:tcPr>
            <w:tcW w:w="1717" w:type="dxa"/>
            <w:vAlign w:val="center"/>
          </w:tcPr>
          <w:p w14:paraId="7F03450F">
            <w:pPr>
              <w:jc w:val="center"/>
              <w:rPr>
                <w:b w:val="0"/>
                <w:bCs/>
                <w:color w:val="auto"/>
                <w:sz w:val="24"/>
                <w:highlight w:val="none"/>
              </w:rPr>
            </w:pPr>
            <w:r>
              <w:rPr>
                <w:b w:val="0"/>
                <w:bCs/>
                <w:color w:val="auto"/>
                <w:sz w:val="24"/>
                <w:highlight w:val="none"/>
              </w:rPr>
              <w:t>真空管道</w:t>
            </w:r>
          </w:p>
        </w:tc>
        <w:tc>
          <w:tcPr>
            <w:tcW w:w="4055" w:type="dxa"/>
            <w:vAlign w:val="center"/>
          </w:tcPr>
          <w:p w14:paraId="7F034510">
            <w:pPr>
              <w:jc w:val="center"/>
              <w:rPr>
                <w:b w:val="0"/>
                <w:bCs/>
                <w:color w:val="auto"/>
                <w:sz w:val="24"/>
                <w:highlight w:val="none"/>
              </w:rPr>
            </w:pPr>
            <w:r>
              <w:rPr>
                <w:b w:val="0"/>
                <w:bCs/>
                <w:color w:val="auto"/>
                <w:sz w:val="24"/>
                <w:highlight w:val="none"/>
              </w:rPr>
              <w:t>优质</w:t>
            </w:r>
            <w:r>
              <w:rPr>
                <w:rFonts w:hint="eastAsia"/>
                <w:b w:val="0"/>
                <w:bCs/>
                <w:color w:val="auto"/>
                <w:sz w:val="24"/>
                <w:highlight w:val="none"/>
              </w:rPr>
              <w:t>碳钢</w:t>
            </w:r>
            <w:r>
              <w:rPr>
                <w:b w:val="0"/>
                <w:bCs/>
                <w:color w:val="auto"/>
                <w:sz w:val="24"/>
                <w:highlight w:val="none"/>
              </w:rPr>
              <w:t>制造；管道内壁抛光</w:t>
            </w:r>
          </w:p>
        </w:tc>
      </w:tr>
      <w:tr w14:paraId="7F03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12">
            <w:pPr>
              <w:jc w:val="left"/>
              <w:rPr>
                <w:b w:val="0"/>
                <w:bCs/>
                <w:color w:val="auto"/>
                <w:spacing w:val="10"/>
                <w:sz w:val="24"/>
                <w:highlight w:val="none"/>
              </w:rPr>
            </w:pPr>
          </w:p>
        </w:tc>
        <w:tc>
          <w:tcPr>
            <w:tcW w:w="1717" w:type="dxa"/>
            <w:vAlign w:val="center"/>
          </w:tcPr>
          <w:p w14:paraId="7F034513">
            <w:pPr>
              <w:jc w:val="center"/>
              <w:rPr>
                <w:b w:val="0"/>
                <w:bCs/>
                <w:color w:val="auto"/>
                <w:sz w:val="24"/>
                <w:highlight w:val="none"/>
              </w:rPr>
            </w:pPr>
            <w:r>
              <w:rPr>
                <w:rFonts w:hint="eastAsia"/>
                <w:b w:val="0"/>
                <w:bCs/>
                <w:color w:val="auto"/>
                <w:sz w:val="24"/>
                <w:highlight w:val="none"/>
              </w:rPr>
              <w:t>螺杆泵</w:t>
            </w:r>
          </w:p>
        </w:tc>
        <w:tc>
          <w:tcPr>
            <w:tcW w:w="4055" w:type="dxa"/>
            <w:vAlign w:val="center"/>
          </w:tcPr>
          <w:p w14:paraId="7F034514">
            <w:pPr>
              <w:jc w:val="center"/>
              <w:rPr>
                <w:b w:val="0"/>
                <w:bCs/>
                <w:color w:val="auto"/>
                <w:sz w:val="24"/>
                <w:highlight w:val="none"/>
              </w:rPr>
            </w:pPr>
            <w:r>
              <w:rPr>
                <w:rFonts w:hint="eastAsia"/>
                <w:b w:val="0"/>
                <w:bCs/>
                <w:color w:val="auto"/>
                <w:sz w:val="24"/>
                <w:highlight w:val="none"/>
              </w:rPr>
              <w:t>三门拓展</w:t>
            </w:r>
          </w:p>
          <w:p w14:paraId="7F034515">
            <w:pPr>
              <w:jc w:val="center"/>
              <w:rPr>
                <w:b w:val="0"/>
                <w:bCs/>
                <w:color w:val="auto"/>
                <w:sz w:val="24"/>
                <w:highlight w:val="none"/>
              </w:rPr>
            </w:pPr>
            <w:r>
              <w:rPr>
                <w:rFonts w:hint="eastAsia"/>
                <w:b w:val="0"/>
                <w:bCs/>
                <w:color w:val="auto"/>
                <w:sz w:val="24"/>
                <w:highlight w:val="none"/>
              </w:rPr>
              <w:t>台州星光</w:t>
            </w:r>
          </w:p>
          <w:p w14:paraId="7F034516">
            <w:pPr>
              <w:jc w:val="center"/>
              <w:rPr>
                <w:rFonts w:hint="eastAsia"/>
                <w:b w:val="0"/>
                <w:bCs/>
                <w:color w:val="auto"/>
                <w:sz w:val="24"/>
                <w:highlight w:val="none"/>
              </w:rPr>
            </w:pPr>
            <w:r>
              <w:rPr>
                <w:rFonts w:hint="eastAsia"/>
                <w:b w:val="0"/>
                <w:bCs/>
                <w:color w:val="auto"/>
                <w:sz w:val="24"/>
                <w:highlight w:val="none"/>
              </w:rPr>
              <w:t>山东斯凯威</w:t>
            </w:r>
          </w:p>
          <w:p w14:paraId="5D771E36">
            <w:pPr>
              <w:jc w:val="center"/>
              <w:rPr>
                <w:rFonts w:hint="eastAsia"/>
                <w:b w:val="0"/>
                <w:bCs/>
                <w:color w:val="auto"/>
                <w:sz w:val="24"/>
                <w:highlight w:val="none"/>
              </w:rPr>
            </w:pPr>
            <w:r>
              <w:rPr>
                <w:rFonts w:hint="eastAsia"/>
                <w:b w:val="0"/>
                <w:bCs/>
                <w:color w:val="auto"/>
                <w:sz w:val="24"/>
                <w:highlight w:val="none"/>
              </w:rPr>
              <w:t>或</w:t>
            </w:r>
            <w:r>
              <w:rPr>
                <w:rFonts w:hint="eastAsia"/>
                <w:b w:val="0"/>
                <w:bCs/>
                <w:color w:val="auto"/>
                <w:kern w:val="0"/>
                <w:sz w:val="24"/>
                <w:highlight w:val="none"/>
              </w:rPr>
              <w:t>同级别品牌</w:t>
            </w:r>
          </w:p>
        </w:tc>
      </w:tr>
      <w:tr w14:paraId="7F03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18">
            <w:pPr>
              <w:jc w:val="left"/>
              <w:rPr>
                <w:b w:val="0"/>
                <w:bCs/>
                <w:color w:val="auto"/>
                <w:spacing w:val="10"/>
                <w:sz w:val="24"/>
                <w:highlight w:val="none"/>
              </w:rPr>
            </w:pPr>
          </w:p>
        </w:tc>
        <w:tc>
          <w:tcPr>
            <w:tcW w:w="1717" w:type="dxa"/>
            <w:vAlign w:val="center"/>
          </w:tcPr>
          <w:p w14:paraId="7F034519">
            <w:pPr>
              <w:jc w:val="center"/>
              <w:rPr>
                <w:b w:val="0"/>
                <w:bCs/>
                <w:color w:val="auto"/>
                <w:sz w:val="24"/>
                <w:highlight w:val="none"/>
              </w:rPr>
            </w:pPr>
            <w:r>
              <w:rPr>
                <w:b w:val="0"/>
                <w:bCs/>
                <w:color w:val="auto"/>
                <w:sz w:val="24"/>
                <w:highlight w:val="none"/>
              </w:rPr>
              <w:t>罗茨泵</w:t>
            </w:r>
          </w:p>
        </w:tc>
        <w:tc>
          <w:tcPr>
            <w:tcW w:w="4055" w:type="dxa"/>
            <w:vAlign w:val="center"/>
          </w:tcPr>
          <w:p w14:paraId="7F03451A">
            <w:pPr>
              <w:jc w:val="center"/>
              <w:rPr>
                <w:b w:val="0"/>
                <w:bCs/>
                <w:color w:val="auto"/>
                <w:sz w:val="24"/>
                <w:highlight w:val="none"/>
              </w:rPr>
            </w:pPr>
            <w:r>
              <w:rPr>
                <w:rFonts w:hint="eastAsia"/>
                <w:b w:val="0"/>
                <w:bCs/>
                <w:color w:val="auto"/>
                <w:sz w:val="24"/>
                <w:highlight w:val="none"/>
              </w:rPr>
              <w:t>三门拓展</w:t>
            </w:r>
          </w:p>
          <w:p w14:paraId="7F03451B">
            <w:pPr>
              <w:jc w:val="center"/>
              <w:rPr>
                <w:b w:val="0"/>
                <w:bCs/>
                <w:color w:val="auto"/>
                <w:sz w:val="24"/>
                <w:highlight w:val="none"/>
              </w:rPr>
            </w:pPr>
            <w:r>
              <w:rPr>
                <w:rFonts w:hint="eastAsia"/>
                <w:b w:val="0"/>
                <w:bCs/>
                <w:color w:val="auto"/>
                <w:sz w:val="24"/>
                <w:highlight w:val="none"/>
              </w:rPr>
              <w:t>上海萃曼</w:t>
            </w:r>
          </w:p>
          <w:p w14:paraId="7F03451C">
            <w:pPr>
              <w:jc w:val="center"/>
              <w:rPr>
                <w:b w:val="0"/>
                <w:bCs/>
                <w:color w:val="auto"/>
                <w:sz w:val="24"/>
                <w:highlight w:val="none"/>
              </w:rPr>
            </w:pPr>
            <w:r>
              <w:rPr>
                <w:rFonts w:hint="eastAsia"/>
                <w:b w:val="0"/>
                <w:bCs/>
                <w:color w:val="auto"/>
                <w:sz w:val="24"/>
                <w:highlight w:val="none"/>
              </w:rPr>
              <w:t>浙江真空</w:t>
            </w:r>
          </w:p>
          <w:p w14:paraId="7F03451D">
            <w:pPr>
              <w:jc w:val="center"/>
              <w:rPr>
                <w:rFonts w:hint="eastAsia"/>
                <w:b w:val="0"/>
                <w:bCs/>
                <w:color w:val="auto"/>
                <w:sz w:val="24"/>
                <w:highlight w:val="none"/>
              </w:rPr>
            </w:pPr>
            <w:r>
              <w:rPr>
                <w:rFonts w:hint="eastAsia"/>
                <w:b w:val="0"/>
                <w:bCs/>
                <w:color w:val="auto"/>
                <w:sz w:val="24"/>
                <w:highlight w:val="none"/>
              </w:rPr>
              <w:t>台州星光</w:t>
            </w:r>
          </w:p>
          <w:p w14:paraId="6A7FC059">
            <w:pPr>
              <w:jc w:val="center"/>
              <w:rPr>
                <w:rFonts w:hint="eastAsia"/>
                <w:b w:val="0"/>
                <w:bCs/>
                <w:color w:val="auto"/>
                <w:sz w:val="24"/>
                <w:highlight w:val="none"/>
              </w:rPr>
            </w:pPr>
            <w:r>
              <w:rPr>
                <w:rFonts w:hint="eastAsia"/>
                <w:b w:val="0"/>
                <w:bCs/>
                <w:color w:val="auto"/>
                <w:sz w:val="24"/>
                <w:highlight w:val="none"/>
              </w:rPr>
              <w:t>或</w:t>
            </w:r>
            <w:r>
              <w:rPr>
                <w:rFonts w:hint="eastAsia"/>
                <w:b w:val="0"/>
                <w:bCs/>
                <w:color w:val="auto"/>
                <w:kern w:val="0"/>
                <w:sz w:val="24"/>
                <w:highlight w:val="none"/>
              </w:rPr>
              <w:t>同级别品牌</w:t>
            </w:r>
          </w:p>
        </w:tc>
      </w:tr>
      <w:tr w14:paraId="7F03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1F">
            <w:pPr>
              <w:jc w:val="left"/>
              <w:rPr>
                <w:b w:val="0"/>
                <w:bCs/>
                <w:color w:val="auto"/>
                <w:spacing w:val="10"/>
                <w:sz w:val="24"/>
                <w:highlight w:val="none"/>
              </w:rPr>
            </w:pPr>
          </w:p>
        </w:tc>
        <w:tc>
          <w:tcPr>
            <w:tcW w:w="1717" w:type="dxa"/>
            <w:vAlign w:val="center"/>
          </w:tcPr>
          <w:p w14:paraId="7F034520">
            <w:pPr>
              <w:jc w:val="center"/>
              <w:rPr>
                <w:b w:val="0"/>
                <w:bCs/>
                <w:color w:val="auto"/>
                <w:sz w:val="24"/>
                <w:highlight w:val="none"/>
              </w:rPr>
            </w:pPr>
            <w:r>
              <w:rPr>
                <w:b w:val="0"/>
                <w:bCs/>
                <w:color w:val="auto"/>
                <w:sz w:val="24"/>
                <w:highlight w:val="none"/>
              </w:rPr>
              <w:t>增压泵</w:t>
            </w:r>
          </w:p>
          <w:p w14:paraId="7F034521">
            <w:pPr>
              <w:jc w:val="center"/>
              <w:rPr>
                <w:b w:val="0"/>
                <w:bCs/>
                <w:color w:val="auto"/>
                <w:sz w:val="24"/>
                <w:highlight w:val="none"/>
              </w:rPr>
            </w:pPr>
            <w:r>
              <w:rPr>
                <w:rFonts w:hint="eastAsia"/>
                <w:b w:val="0"/>
                <w:bCs/>
                <w:color w:val="auto"/>
                <w:sz w:val="24"/>
                <w:highlight w:val="none"/>
              </w:rPr>
              <w:t>扩散泵</w:t>
            </w:r>
          </w:p>
        </w:tc>
        <w:tc>
          <w:tcPr>
            <w:tcW w:w="4055" w:type="dxa"/>
            <w:vAlign w:val="center"/>
          </w:tcPr>
          <w:p w14:paraId="7F034522">
            <w:pPr>
              <w:jc w:val="center"/>
              <w:rPr>
                <w:b w:val="0"/>
                <w:bCs/>
                <w:color w:val="auto"/>
                <w:sz w:val="24"/>
                <w:highlight w:val="none"/>
              </w:rPr>
            </w:pPr>
            <w:r>
              <w:rPr>
                <w:rFonts w:hint="eastAsia"/>
                <w:b w:val="0"/>
                <w:bCs/>
                <w:color w:val="auto"/>
                <w:sz w:val="24"/>
                <w:highlight w:val="none"/>
              </w:rPr>
              <w:t>兰州真空</w:t>
            </w:r>
          </w:p>
          <w:p w14:paraId="7F034523">
            <w:pPr>
              <w:jc w:val="center"/>
              <w:rPr>
                <w:b w:val="0"/>
                <w:bCs/>
                <w:color w:val="auto"/>
                <w:sz w:val="24"/>
                <w:highlight w:val="none"/>
              </w:rPr>
            </w:pPr>
            <w:r>
              <w:rPr>
                <w:rFonts w:hint="eastAsia"/>
                <w:b w:val="0"/>
                <w:bCs/>
                <w:color w:val="auto"/>
                <w:sz w:val="24"/>
                <w:highlight w:val="none"/>
              </w:rPr>
              <w:t>兰州华益</w:t>
            </w:r>
          </w:p>
          <w:p w14:paraId="7F034524">
            <w:pPr>
              <w:jc w:val="center"/>
              <w:rPr>
                <w:b w:val="0"/>
                <w:bCs/>
                <w:color w:val="auto"/>
                <w:sz w:val="24"/>
                <w:highlight w:val="none"/>
              </w:rPr>
            </w:pPr>
            <w:r>
              <w:rPr>
                <w:rFonts w:hint="eastAsia"/>
                <w:b w:val="0"/>
                <w:bCs/>
                <w:color w:val="auto"/>
                <w:sz w:val="24"/>
                <w:highlight w:val="none"/>
              </w:rPr>
              <w:t>甘肃腾飞</w:t>
            </w:r>
          </w:p>
          <w:p w14:paraId="7F034525">
            <w:pPr>
              <w:jc w:val="center"/>
              <w:rPr>
                <w:rFonts w:hint="eastAsia"/>
                <w:b w:val="0"/>
                <w:bCs/>
                <w:color w:val="auto"/>
                <w:sz w:val="24"/>
                <w:highlight w:val="none"/>
              </w:rPr>
            </w:pPr>
            <w:r>
              <w:rPr>
                <w:rFonts w:hint="eastAsia"/>
                <w:b w:val="0"/>
                <w:bCs/>
                <w:color w:val="auto"/>
                <w:sz w:val="24"/>
                <w:highlight w:val="none"/>
              </w:rPr>
              <w:t>西安孚垒</w:t>
            </w:r>
          </w:p>
          <w:p w14:paraId="7B552F56">
            <w:pPr>
              <w:jc w:val="center"/>
              <w:rPr>
                <w:rFonts w:hint="eastAsia"/>
                <w:b w:val="0"/>
                <w:bCs/>
                <w:color w:val="auto"/>
                <w:sz w:val="24"/>
                <w:highlight w:val="none"/>
              </w:rPr>
            </w:pPr>
            <w:r>
              <w:rPr>
                <w:rFonts w:hint="eastAsia"/>
                <w:b w:val="0"/>
                <w:bCs/>
                <w:color w:val="auto"/>
                <w:sz w:val="24"/>
                <w:highlight w:val="none"/>
              </w:rPr>
              <w:t>或</w:t>
            </w:r>
            <w:r>
              <w:rPr>
                <w:rFonts w:hint="eastAsia"/>
                <w:b w:val="0"/>
                <w:bCs/>
                <w:color w:val="auto"/>
                <w:kern w:val="0"/>
                <w:sz w:val="24"/>
                <w:highlight w:val="none"/>
              </w:rPr>
              <w:t>同级别品牌</w:t>
            </w:r>
          </w:p>
        </w:tc>
      </w:tr>
      <w:tr w14:paraId="7F03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27">
            <w:pPr>
              <w:jc w:val="left"/>
              <w:rPr>
                <w:b w:val="0"/>
                <w:bCs/>
                <w:color w:val="auto"/>
                <w:spacing w:val="10"/>
                <w:sz w:val="24"/>
                <w:highlight w:val="none"/>
              </w:rPr>
            </w:pPr>
          </w:p>
        </w:tc>
        <w:tc>
          <w:tcPr>
            <w:tcW w:w="1717" w:type="dxa"/>
            <w:vAlign w:val="center"/>
          </w:tcPr>
          <w:p w14:paraId="7F034528">
            <w:pPr>
              <w:jc w:val="center"/>
              <w:rPr>
                <w:b w:val="0"/>
                <w:bCs/>
                <w:color w:val="auto"/>
                <w:sz w:val="24"/>
                <w:highlight w:val="none"/>
              </w:rPr>
            </w:pPr>
            <w:r>
              <w:rPr>
                <w:b w:val="0"/>
                <w:bCs/>
                <w:color w:val="auto"/>
                <w:sz w:val="24"/>
                <w:highlight w:val="none"/>
              </w:rPr>
              <w:t>维持泵</w:t>
            </w:r>
          </w:p>
        </w:tc>
        <w:tc>
          <w:tcPr>
            <w:tcW w:w="4055" w:type="dxa"/>
            <w:vAlign w:val="center"/>
          </w:tcPr>
          <w:p w14:paraId="7F034529">
            <w:pPr>
              <w:jc w:val="center"/>
              <w:rPr>
                <w:b w:val="0"/>
                <w:bCs/>
                <w:color w:val="auto"/>
                <w:sz w:val="24"/>
                <w:highlight w:val="none"/>
              </w:rPr>
            </w:pPr>
            <w:r>
              <w:rPr>
                <w:rFonts w:hint="eastAsia"/>
                <w:b w:val="0"/>
                <w:bCs/>
                <w:color w:val="auto"/>
                <w:sz w:val="24"/>
                <w:highlight w:val="none"/>
              </w:rPr>
              <w:t>三门拓展</w:t>
            </w:r>
          </w:p>
          <w:p w14:paraId="7F03452A">
            <w:pPr>
              <w:jc w:val="center"/>
              <w:rPr>
                <w:b w:val="0"/>
                <w:bCs/>
                <w:color w:val="auto"/>
                <w:sz w:val="24"/>
                <w:highlight w:val="none"/>
              </w:rPr>
            </w:pPr>
            <w:r>
              <w:rPr>
                <w:rFonts w:hint="eastAsia"/>
                <w:b w:val="0"/>
                <w:bCs/>
                <w:color w:val="auto"/>
                <w:sz w:val="24"/>
                <w:highlight w:val="none"/>
              </w:rPr>
              <w:t>成都南光</w:t>
            </w:r>
          </w:p>
          <w:p w14:paraId="7F03452B">
            <w:pPr>
              <w:jc w:val="center"/>
              <w:rPr>
                <w:rFonts w:hint="eastAsia"/>
                <w:b w:val="0"/>
                <w:bCs/>
                <w:color w:val="auto"/>
                <w:sz w:val="24"/>
                <w:highlight w:val="none"/>
              </w:rPr>
            </w:pPr>
            <w:r>
              <w:rPr>
                <w:rFonts w:hint="eastAsia"/>
                <w:b w:val="0"/>
                <w:bCs/>
                <w:color w:val="auto"/>
                <w:sz w:val="24"/>
                <w:highlight w:val="none"/>
              </w:rPr>
              <w:t>华新南光</w:t>
            </w:r>
          </w:p>
          <w:p w14:paraId="11708A69">
            <w:pPr>
              <w:jc w:val="center"/>
              <w:rPr>
                <w:rFonts w:hint="eastAsia"/>
                <w:b w:val="0"/>
                <w:bCs/>
                <w:color w:val="auto"/>
                <w:sz w:val="24"/>
                <w:highlight w:val="none"/>
              </w:rPr>
            </w:pPr>
            <w:r>
              <w:rPr>
                <w:rFonts w:hint="eastAsia"/>
                <w:b w:val="0"/>
                <w:bCs/>
                <w:color w:val="auto"/>
                <w:sz w:val="24"/>
                <w:highlight w:val="none"/>
              </w:rPr>
              <w:t>或</w:t>
            </w:r>
            <w:r>
              <w:rPr>
                <w:rFonts w:hint="eastAsia"/>
                <w:b w:val="0"/>
                <w:bCs/>
                <w:color w:val="auto"/>
                <w:kern w:val="0"/>
                <w:sz w:val="24"/>
                <w:highlight w:val="none"/>
              </w:rPr>
              <w:t>同级别品牌</w:t>
            </w:r>
          </w:p>
        </w:tc>
      </w:tr>
      <w:tr w14:paraId="7F03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866" w:type="dxa"/>
            <w:vMerge w:val="continue"/>
            <w:vAlign w:val="center"/>
          </w:tcPr>
          <w:p w14:paraId="7F03452D">
            <w:pPr>
              <w:jc w:val="left"/>
              <w:rPr>
                <w:b w:val="0"/>
                <w:bCs/>
                <w:color w:val="auto"/>
                <w:spacing w:val="10"/>
                <w:sz w:val="24"/>
                <w:highlight w:val="none"/>
              </w:rPr>
            </w:pPr>
          </w:p>
        </w:tc>
        <w:tc>
          <w:tcPr>
            <w:tcW w:w="1717" w:type="dxa"/>
            <w:vAlign w:val="center"/>
          </w:tcPr>
          <w:p w14:paraId="7F03452E">
            <w:pPr>
              <w:jc w:val="center"/>
              <w:rPr>
                <w:b w:val="0"/>
                <w:bCs/>
                <w:color w:val="auto"/>
                <w:sz w:val="24"/>
                <w:highlight w:val="none"/>
              </w:rPr>
            </w:pPr>
            <w:r>
              <w:rPr>
                <w:b w:val="0"/>
                <w:bCs/>
                <w:color w:val="auto"/>
                <w:sz w:val="24"/>
                <w:highlight w:val="none"/>
              </w:rPr>
              <w:t>真空阀</w:t>
            </w:r>
          </w:p>
        </w:tc>
        <w:tc>
          <w:tcPr>
            <w:tcW w:w="4055" w:type="dxa"/>
            <w:vAlign w:val="center"/>
          </w:tcPr>
          <w:p w14:paraId="7F03452F">
            <w:pPr>
              <w:jc w:val="center"/>
              <w:rPr>
                <w:b w:val="0"/>
                <w:bCs/>
                <w:color w:val="auto"/>
                <w:sz w:val="24"/>
                <w:highlight w:val="none"/>
              </w:rPr>
            </w:pPr>
            <w:r>
              <w:rPr>
                <w:rFonts w:hint="eastAsia"/>
                <w:b w:val="0"/>
                <w:bCs/>
                <w:color w:val="auto"/>
                <w:sz w:val="24"/>
                <w:highlight w:val="none"/>
              </w:rPr>
              <w:t>国内一线品牌</w:t>
            </w:r>
          </w:p>
        </w:tc>
      </w:tr>
      <w:tr w14:paraId="7F03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31">
            <w:pPr>
              <w:jc w:val="left"/>
              <w:rPr>
                <w:b w:val="0"/>
                <w:bCs/>
                <w:color w:val="auto"/>
                <w:spacing w:val="10"/>
                <w:sz w:val="24"/>
                <w:highlight w:val="none"/>
              </w:rPr>
            </w:pPr>
          </w:p>
        </w:tc>
        <w:tc>
          <w:tcPr>
            <w:tcW w:w="1717" w:type="dxa"/>
            <w:vAlign w:val="center"/>
          </w:tcPr>
          <w:p w14:paraId="7F034532">
            <w:pPr>
              <w:jc w:val="center"/>
              <w:rPr>
                <w:b w:val="0"/>
                <w:bCs/>
                <w:color w:val="auto"/>
                <w:sz w:val="24"/>
                <w:highlight w:val="none"/>
              </w:rPr>
            </w:pPr>
            <w:r>
              <w:rPr>
                <w:b w:val="0"/>
                <w:bCs/>
                <w:color w:val="auto"/>
                <w:sz w:val="24"/>
                <w:highlight w:val="none"/>
              </w:rPr>
              <w:t>传感器</w:t>
            </w:r>
          </w:p>
        </w:tc>
        <w:tc>
          <w:tcPr>
            <w:tcW w:w="4055" w:type="dxa"/>
            <w:vAlign w:val="center"/>
          </w:tcPr>
          <w:p w14:paraId="7F034533">
            <w:pPr>
              <w:jc w:val="center"/>
              <w:rPr>
                <w:b w:val="0"/>
                <w:bCs/>
                <w:color w:val="auto"/>
                <w:sz w:val="24"/>
                <w:highlight w:val="none"/>
              </w:rPr>
            </w:pPr>
            <w:r>
              <w:rPr>
                <w:rFonts w:hint="eastAsia"/>
                <w:b w:val="0"/>
                <w:bCs/>
                <w:color w:val="auto"/>
                <w:sz w:val="24"/>
                <w:highlight w:val="none"/>
              </w:rPr>
              <w:t>英孚康</w:t>
            </w:r>
            <w:r>
              <w:rPr>
                <w:rFonts w:hint="eastAsia"/>
                <w:b w:val="0"/>
                <w:bCs/>
                <w:color w:val="auto"/>
                <w:kern w:val="0"/>
                <w:sz w:val="24"/>
                <w:highlight w:val="none"/>
              </w:rPr>
              <w:t>等同级别品牌</w:t>
            </w:r>
          </w:p>
        </w:tc>
      </w:tr>
      <w:tr w14:paraId="7F03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866" w:type="dxa"/>
            <w:vMerge w:val="continue"/>
            <w:vAlign w:val="center"/>
          </w:tcPr>
          <w:p w14:paraId="7F034535">
            <w:pPr>
              <w:jc w:val="left"/>
              <w:rPr>
                <w:b w:val="0"/>
                <w:bCs/>
                <w:color w:val="auto"/>
                <w:spacing w:val="10"/>
                <w:sz w:val="24"/>
                <w:highlight w:val="none"/>
              </w:rPr>
            </w:pPr>
          </w:p>
        </w:tc>
        <w:tc>
          <w:tcPr>
            <w:tcW w:w="1717" w:type="dxa"/>
            <w:vAlign w:val="center"/>
          </w:tcPr>
          <w:p w14:paraId="7F034536">
            <w:pPr>
              <w:jc w:val="center"/>
              <w:rPr>
                <w:b w:val="0"/>
                <w:bCs/>
                <w:color w:val="auto"/>
                <w:sz w:val="24"/>
                <w:highlight w:val="none"/>
              </w:rPr>
            </w:pPr>
            <w:r>
              <w:rPr>
                <w:rFonts w:hint="eastAsia"/>
                <w:b w:val="0"/>
                <w:bCs/>
                <w:color w:val="auto"/>
                <w:sz w:val="24"/>
                <w:highlight w:val="none"/>
              </w:rPr>
              <w:t>质量流量</w:t>
            </w:r>
          </w:p>
          <w:p w14:paraId="7F034537">
            <w:pPr>
              <w:jc w:val="center"/>
              <w:rPr>
                <w:b w:val="0"/>
                <w:bCs/>
                <w:color w:val="auto"/>
                <w:sz w:val="24"/>
                <w:highlight w:val="none"/>
              </w:rPr>
            </w:pPr>
            <w:r>
              <w:rPr>
                <w:rFonts w:hint="eastAsia"/>
                <w:b w:val="0"/>
                <w:bCs/>
                <w:color w:val="auto"/>
                <w:sz w:val="24"/>
                <w:highlight w:val="none"/>
              </w:rPr>
              <w:t>控制器</w:t>
            </w:r>
          </w:p>
        </w:tc>
        <w:tc>
          <w:tcPr>
            <w:tcW w:w="4055" w:type="dxa"/>
            <w:vAlign w:val="center"/>
          </w:tcPr>
          <w:p w14:paraId="7F034538">
            <w:pPr>
              <w:jc w:val="center"/>
              <w:rPr>
                <w:b w:val="0"/>
                <w:bCs/>
                <w:color w:val="auto"/>
                <w:sz w:val="24"/>
                <w:highlight w:val="none"/>
              </w:rPr>
            </w:pPr>
            <w:r>
              <w:rPr>
                <w:rFonts w:hint="eastAsia"/>
                <w:b w:val="0"/>
                <w:bCs/>
                <w:color w:val="auto"/>
                <w:sz w:val="24"/>
                <w:highlight w:val="none"/>
              </w:rPr>
              <w:t>Bronkhorst、</w:t>
            </w:r>
          </w:p>
          <w:p w14:paraId="7F034539">
            <w:pPr>
              <w:jc w:val="center"/>
              <w:rPr>
                <w:b w:val="0"/>
                <w:bCs/>
                <w:color w:val="auto"/>
                <w:sz w:val="24"/>
                <w:highlight w:val="none"/>
              </w:rPr>
            </w:pPr>
            <w:r>
              <w:rPr>
                <w:rFonts w:hint="eastAsia"/>
                <w:b w:val="0"/>
                <w:bCs/>
                <w:color w:val="auto"/>
                <w:sz w:val="24"/>
                <w:highlight w:val="none"/>
              </w:rPr>
              <w:t>汇博隆、HORIBA</w:t>
            </w:r>
            <w:r>
              <w:rPr>
                <w:rFonts w:hint="eastAsia"/>
                <w:b w:val="0"/>
                <w:bCs/>
                <w:color w:val="auto"/>
                <w:kern w:val="0"/>
                <w:sz w:val="24"/>
                <w:highlight w:val="none"/>
              </w:rPr>
              <w:t>等同级别品牌</w:t>
            </w:r>
          </w:p>
        </w:tc>
      </w:tr>
    </w:tbl>
    <w:p w14:paraId="7F03453B">
      <w:pPr>
        <w:spacing w:line="500" w:lineRule="exact"/>
        <w:rPr>
          <w:b w:val="0"/>
          <w:bCs/>
          <w:color w:val="auto"/>
          <w:spacing w:val="10"/>
          <w:sz w:val="24"/>
          <w:highlight w:val="none"/>
        </w:rPr>
      </w:pPr>
    </w:p>
    <w:p w14:paraId="7F03453C">
      <w:pPr>
        <w:spacing w:line="500" w:lineRule="exact"/>
        <w:rPr>
          <w:b w:val="0"/>
          <w:bCs/>
          <w:color w:val="auto"/>
          <w:spacing w:val="10"/>
          <w:sz w:val="24"/>
          <w:highlight w:val="none"/>
        </w:rPr>
      </w:pPr>
    </w:p>
    <w:p w14:paraId="7F03453D">
      <w:pPr>
        <w:spacing w:line="500" w:lineRule="exact"/>
        <w:rPr>
          <w:b w:val="0"/>
          <w:bCs/>
          <w:color w:val="auto"/>
          <w:spacing w:val="10"/>
          <w:sz w:val="24"/>
          <w:highlight w:val="none"/>
        </w:rPr>
      </w:pPr>
    </w:p>
    <w:p w14:paraId="7F03453E">
      <w:pPr>
        <w:spacing w:line="500" w:lineRule="exact"/>
        <w:rPr>
          <w:b w:val="0"/>
          <w:bCs/>
          <w:color w:val="auto"/>
          <w:spacing w:val="10"/>
          <w:sz w:val="24"/>
          <w:highlight w:val="none"/>
        </w:rPr>
      </w:pPr>
      <w:r>
        <w:rPr>
          <w:b w:val="0"/>
          <w:bCs/>
          <w:color w:val="auto"/>
          <w:spacing w:val="10"/>
          <w:sz w:val="24"/>
          <w:highlight w:val="none"/>
        </w:rPr>
        <w:t>6.5 熔炼电源及供电电路系统</w:t>
      </w:r>
    </w:p>
    <w:p w14:paraId="7F03453F">
      <w:pPr>
        <w:spacing w:line="500" w:lineRule="exact"/>
        <w:ind w:firstLine="520" w:firstLineChars="200"/>
        <w:rPr>
          <w:b w:val="0"/>
          <w:bCs/>
          <w:color w:val="auto"/>
          <w:spacing w:val="10"/>
          <w:sz w:val="24"/>
          <w:highlight w:val="none"/>
        </w:rPr>
      </w:pPr>
      <w:r>
        <w:rPr>
          <w:b w:val="0"/>
          <w:bCs/>
          <w:color w:val="auto"/>
          <w:spacing w:val="10"/>
          <w:sz w:val="24"/>
          <w:highlight w:val="none"/>
        </w:rPr>
        <w:t>熔炼电源大电流馈入系统采用同轴设计。采用两台整流柜，同时提供功率补偿装置，在限定的负载下，功率因子可补偿到≥0.9</w:t>
      </w:r>
      <w:r>
        <w:rPr>
          <w:rFonts w:hint="eastAsia"/>
          <w:b w:val="0"/>
          <w:bCs/>
          <w:color w:val="auto"/>
          <w:spacing w:val="10"/>
          <w:sz w:val="24"/>
          <w:highlight w:val="none"/>
        </w:rPr>
        <w:t>（以最大熔炼电流计算）</w:t>
      </w:r>
      <w:r>
        <w:rPr>
          <w:b w:val="0"/>
          <w:bCs/>
          <w:color w:val="auto"/>
          <w:spacing w:val="10"/>
          <w:sz w:val="24"/>
          <w:highlight w:val="none"/>
        </w:rPr>
        <w:t>。</w:t>
      </w:r>
    </w:p>
    <w:p w14:paraId="7F034540">
      <w:pPr>
        <w:spacing w:line="500" w:lineRule="exact"/>
        <w:ind w:firstLine="520" w:firstLineChars="200"/>
        <w:rPr>
          <w:b w:val="0"/>
          <w:bCs/>
          <w:color w:val="auto"/>
          <w:spacing w:val="10"/>
          <w:sz w:val="24"/>
          <w:highlight w:val="none"/>
        </w:rPr>
      </w:pPr>
      <w:r>
        <w:rPr>
          <w:b w:val="0"/>
          <w:bCs/>
          <w:color w:val="auto"/>
          <w:spacing w:val="10"/>
          <w:sz w:val="24"/>
          <w:highlight w:val="none"/>
        </w:rPr>
        <w:t>应通过计算机远程控制，实现熔炼电源的通断，并在设备上安装有专门用于电源急停的蘑菇按钮。</w:t>
      </w:r>
    </w:p>
    <w:p w14:paraId="7F034541">
      <w:pPr>
        <w:spacing w:before="156" w:beforeLines="50"/>
        <w:ind w:firstLine="520" w:firstLineChars="200"/>
        <w:jc w:val="left"/>
        <w:rPr>
          <w:b w:val="0"/>
          <w:bCs/>
          <w:color w:val="auto"/>
          <w:spacing w:val="10"/>
          <w:sz w:val="24"/>
          <w:highlight w:val="none"/>
        </w:rPr>
      </w:pPr>
      <w:r>
        <w:rPr>
          <w:b w:val="0"/>
          <w:bCs/>
          <w:color w:val="auto"/>
          <w:spacing w:val="10"/>
          <w:sz w:val="24"/>
          <w:highlight w:val="none"/>
        </w:rPr>
        <w:t>熔炼电源能够实现</w:t>
      </w:r>
      <w:r>
        <w:rPr>
          <w:rFonts w:hint="eastAsia"/>
          <w:b w:val="0"/>
          <w:bCs/>
          <w:color w:val="auto"/>
          <w:spacing w:val="10"/>
          <w:sz w:val="24"/>
          <w:highlight w:val="none"/>
        </w:rPr>
        <w:t>第5章中“▲（2）熔化主体电源和控制系统配置方案”的要求。</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4"/>
        <w:gridCol w:w="1457"/>
        <w:gridCol w:w="3037"/>
      </w:tblGrid>
      <w:tr w14:paraId="7F03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Align w:val="center"/>
          </w:tcPr>
          <w:p w14:paraId="7F034542">
            <w:pPr>
              <w:jc w:val="center"/>
              <w:rPr>
                <w:b w:val="0"/>
                <w:bCs/>
                <w:color w:val="auto"/>
                <w:spacing w:val="10"/>
                <w:sz w:val="24"/>
                <w:highlight w:val="none"/>
              </w:rPr>
            </w:pPr>
            <w:r>
              <w:rPr>
                <w:b w:val="0"/>
                <w:bCs/>
                <w:color w:val="auto"/>
                <w:spacing w:val="10"/>
                <w:sz w:val="24"/>
                <w:highlight w:val="none"/>
              </w:rPr>
              <w:t>技术要求</w:t>
            </w:r>
          </w:p>
        </w:tc>
        <w:tc>
          <w:tcPr>
            <w:tcW w:w="3936" w:type="dxa"/>
            <w:gridSpan w:val="2"/>
            <w:vAlign w:val="center"/>
          </w:tcPr>
          <w:p w14:paraId="7F034543">
            <w:pPr>
              <w:jc w:val="center"/>
              <w:rPr>
                <w:b w:val="0"/>
                <w:bCs/>
                <w:color w:val="auto"/>
                <w:spacing w:val="10"/>
                <w:sz w:val="24"/>
                <w:highlight w:val="none"/>
              </w:rPr>
            </w:pPr>
            <w:r>
              <w:rPr>
                <w:b w:val="0"/>
                <w:bCs/>
                <w:color w:val="auto"/>
                <w:spacing w:val="10"/>
                <w:sz w:val="24"/>
                <w:highlight w:val="none"/>
              </w:rPr>
              <w:t>配置要求</w:t>
            </w:r>
          </w:p>
        </w:tc>
      </w:tr>
      <w:tr w14:paraId="7F034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Merge w:val="restart"/>
            <w:vAlign w:val="center"/>
          </w:tcPr>
          <w:p w14:paraId="7F034545">
            <w:pPr>
              <w:pStyle w:val="334"/>
              <w:numPr>
                <w:ilvl w:val="0"/>
                <w:numId w:val="6"/>
              </w:numPr>
              <w:ind w:left="0" w:firstLine="0"/>
              <w:rPr>
                <w:rFonts w:ascii="Times New Roman" w:hAnsi="Times New Roman"/>
                <w:b w:val="0"/>
                <w:bCs/>
                <w:color w:val="auto"/>
                <w:sz w:val="24"/>
                <w:highlight w:val="none"/>
              </w:rPr>
            </w:pPr>
            <w:r>
              <w:rPr>
                <w:rFonts w:ascii="Times New Roman" w:hAnsi="Times New Roman"/>
                <w:b w:val="0"/>
                <w:bCs/>
                <w:color w:val="auto"/>
                <w:sz w:val="24"/>
                <w:highlight w:val="none"/>
              </w:rPr>
              <w:t>最大电流：</w:t>
            </w:r>
          </w:p>
          <w:p w14:paraId="7F034546">
            <w:pPr>
              <w:pStyle w:val="334"/>
              <w:numPr>
                <w:ilvl w:val="255"/>
                <w:numId w:val="0"/>
              </w:numPr>
              <w:ind w:firstLine="480" w:firstLineChars="200"/>
              <w:rPr>
                <w:rFonts w:hint="eastAsia"/>
                <w:b w:val="0"/>
                <w:bCs/>
                <w:color w:val="auto"/>
                <w:highlight w:val="none"/>
              </w:rPr>
            </w:pPr>
            <w:r>
              <w:rPr>
                <w:rFonts w:hint="eastAsia" w:ascii="Times New Roman" w:hAnsi="Times New Roman"/>
                <w:b w:val="0"/>
                <w:bCs/>
                <w:color w:val="auto"/>
                <w:sz w:val="24"/>
                <w:highlight w:val="none"/>
              </w:rPr>
              <w:t>1000kg电弧炉：</w:t>
            </w:r>
            <w:r>
              <w:rPr>
                <w:rFonts w:hint="eastAsia" w:ascii="Times New Roman" w:hAnsi="Times New Roman" w:cs="Times New Roman"/>
                <w:b w:val="0"/>
                <w:bCs/>
                <w:color w:val="auto"/>
                <w:spacing w:val="10"/>
                <w:sz w:val="24"/>
                <w:highlight w:val="none"/>
              </w:rPr>
              <w:t>20kA（2×10kA并联）</w:t>
            </w:r>
          </w:p>
          <w:p w14:paraId="7F034547">
            <w:pPr>
              <w:pStyle w:val="334"/>
              <w:numPr>
                <w:ilvl w:val="255"/>
                <w:numId w:val="0"/>
              </w:numPr>
              <w:ind w:firstLine="480" w:firstLineChars="200"/>
              <w:rPr>
                <w:rFonts w:hint="eastAsia"/>
                <w:b w:val="0"/>
                <w:bCs/>
                <w:color w:val="auto"/>
                <w:highlight w:val="none"/>
              </w:rPr>
            </w:pPr>
            <w:r>
              <w:rPr>
                <w:rFonts w:hint="eastAsia" w:ascii="Times New Roman" w:hAnsi="Times New Roman"/>
                <w:b w:val="0"/>
                <w:bCs/>
                <w:color w:val="auto"/>
                <w:sz w:val="24"/>
                <w:highlight w:val="none"/>
              </w:rPr>
              <w:t>300kg电弧炉：10kA（</w:t>
            </w:r>
            <w:r>
              <w:rPr>
                <w:rFonts w:hint="eastAsia" w:ascii="Times New Roman" w:hAnsi="Times New Roman" w:cs="Times New Roman"/>
                <w:b w:val="0"/>
                <w:bCs/>
                <w:color w:val="auto"/>
                <w:spacing w:val="10"/>
                <w:sz w:val="24"/>
                <w:highlight w:val="none"/>
              </w:rPr>
              <w:t>2×5kA并联</w:t>
            </w:r>
            <w:r>
              <w:rPr>
                <w:rFonts w:hint="eastAsia" w:ascii="Times New Roman" w:hAnsi="Times New Roman"/>
                <w:b w:val="0"/>
                <w:bCs/>
                <w:color w:val="auto"/>
                <w:sz w:val="24"/>
                <w:highlight w:val="none"/>
              </w:rPr>
              <w:t>）</w:t>
            </w:r>
          </w:p>
          <w:p w14:paraId="7F034548">
            <w:pPr>
              <w:pStyle w:val="334"/>
              <w:numPr>
                <w:ilvl w:val="0"/>
                <w:numId w:val="6"/>
              </w:numPr>
              <w:ind w:left="0" w:firstLine="0"/>
              <w:rPr>
                <w:rFonts w:ascii="Times New Roman" w:hAnsi="Times New Roman"/>
                <w:b w:val="0"/>
                <w:bCs/>
                <w:color w:val="auto"/>
                <w:sz w:val="24"/>
                <w:highlight w:val="none"/>
              </w:rPr>
            </w:pPr>
            <w:r>
              <w:rPr>
                <w:rFonts w:ascii="Times New Roman" w:hAnsi="Times New Roman"/>
                <w:b w:val="0"/>
                <w:bCs/>
                <w:color w:val="auto"/>
                <w:sz w:val="24"/>
                <w:highlight w:val="none"/>
              </w:rPr>
              <w:t>电流波动范围不大于</w:t>
            </w:r>
            <w:r>
              <w:rPr>
                <w:rFonts w:hint="eastAsia" w:ascii="Times New Roman" w:hAnsi="Times New Roman" w:cs="Times New Roman"/>
                <w:b w:val="0"/>
                <w:bCs/>
                <w:color w:val="auto"/>
                <w:spacing w:val="10"/>
                <w:sz w:val="24"/>
                <w:highlight w:val="none"/>
              </w:rPr>
              <w:t>1%</w:t>
            </w:r>
          </w:p>
          <w:p w14:paraId="7F034549">
            <w:pPr>
              <w:pStyle w:val="334"/>
              <w:numPr>
                <w:ilvl w:val="0"/>
                <w:numId w:val="6"/>
              </w:numPr>
              <w:ind w:left="0" w:firstLine="0"/>
              <w:rPr>
                <w:rFonts w:ascii="Times New Roman" w:hAnsi="Times New Roman"/>
                <w:b w:val="0"/>
                <w:bCs/>
                <w:color w:val="auto"/>
                <w:spacing w:val="10"/>
                <w:sz w:val="24"/>
                <w:highlight w:val="none"/>
              </w:rPr>
            </w:pPr>
            <w:r>
              <w:rPr>
                <w:rFonts w:ascii="Times New Roman" w:hAnsi="Times New Roman"/>
                <w:b w:val="0"/>
                <w:bCs/>
                <w:color w:val="auto"/>
                <w:sz w:val="24"/>
                <w:highlight w:val="none"/>
              </w:rPr>
              <w:t>工作电压：</w:t>
            </w:r>
            <w:r>
              <w:rPr>
                <w:rFonts w:hint="eastAsia" w:ascii="Times New Roman" w:hAnsi="Times New Roman" w:cs="Times New Roman"/>
                <w:b w:val="0"/>
                <w:bCs/>
                <w:color w:val="auto"/>
                <w:spacing w:val="10"/>
                <w:sz w:val="24"/>
                <w:highlight w:val="none"/>
              </w:rPr>
              <w:t>0V ~45V</w:t>
            </w:r>
          </w:p>
        </w:tc>
        <w:tc>
          <w:tcPr>
            <w:tcW w:w="1276" w:type="dxa"/>
            <w:vAlign w:val="center"/>
          </w:tcPr>
          <w:p w14:paraId="7F03454A">
            <w:pPr>
              <w:jc w:val="center"/>
              <w:rPr>
                <w:b w:val="0"/>
                <w:bCs/>
                <w:color w:val="auto"/>
                <w:sz w:val="24"/>
                <w:highlight w:val="none"/>
              </w:rPr>
            </w:pPr>
            <w:r>
              <w:rPr>
                <w:b w:val="0"/>
                <w:bCs/>
                <w:color w:val="auto"/>
                <w:sz w:val="24"/>
                <w:highlight w:val="none"/>
              </w:rPr>
              <w:t>整流柜</w:t>
            </w:r>
          </w:p>
        </w:tc>
        <w:tc>
          <w:tcPr>
            <w:tcW w:w="2660" w:type="dxa"/>
            <w:vAlign w:val="center"/>
          </w:tcPr>
          <w:p w14:paraId="7F03454B">
            <w:pPr>
              <w:jc w:val="center"/>
              <w:rPr>
                <w:b w:val="0"/>
                <w:bCs/>
                <w:color w:val="auto"/>
                <w:sz w:val="24"/>
                <w:highlight w:val="none"/>
              </w:rPr>
            </w:pPr>
            <w:r>
              <w:rPr>
                <w:rFonts w:hint="eastAsia"/>
                <w:b w:val="0"/>
                <w:bCs/>
                <w:color w:val="auto"/>
                <w:sz w:val="24"/>
                <w:highlight w:val="none"/>
              </w:rPr>
              <w:t>国产（可控硅）</w:t>
            </w:r>
          </w:p>
        </w:tc>
      </w:tr>
      <w:tr w14:paraId="7F03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Merge w:val="continue"/>
            <w:vAlign w:val="center"/>
          </w:tcPr>
          <w:p w14:paraId="7F03454D">
            <w:pPr>
              <w:jc w:val="left"/>
              <w:rPr>
                <w:b w:val="0"/>
                <w:bCs/>
                <w:color w:val="auto"/>
                <w:spacing w:val="10"/>
                <w:sz w:val="24"/>
                <w:highlight w:val="none"/>
              </w:rPr>
            </w:pPr>
          </w:p>
        </w:tc>
        <w:tc>
          <w:tcPr>
            <w:tcW w:w="1276" w:type="dxa"/>
            <w:vAlign w:val="center"/>
          </w:tcPr>
          <w:p w14:paraId="7F03454E">
            <w:pPr>
              <w:jc w:val="center"/>
              <w:rPr>
                <w:b w:val="0"/>
                <w:bCs/>
                <w:color w:val="auto"/>
                <w:sz w:val="24"/>
                <w:highlight w:val="none"/>
              </w:rPr>
            </w:pPr>
            <w:r>
              <w:rPr>
                <w:b w:val="0"/>
                <w:bCs/>
                <w:color w:val="auto"/>
                <w:sz w:val="24"/>
                <w:highlight w:val="none"/>
              </w:rPr>
              <w:t>水冷电缆</w:t>
            </w:r>
          </w:p>
        </w:tc>
        <w:tc>
          <w:tcPr>
            <w:tcW w:w="2660" w:type="dxa"/>
            <w:vMerge w:val="restart"/>
            <w:vAlign w:val="center"/>
          </w:tcPr>
          <w:p w14:paraId="7F03454F">
            <w:pPr>
              <w:jc w:val="center"/>
              <w:rPr>
                <w:b w:val="0"/>
                <w:bCs/>
                <w:color w:val="auto"/>
                <w:sz w:val="24"/>
                <w:highlight w:val="none"/>
              </w:rPr>
            </w:pPr>
            <w:r>
              <w:rPr>
                <w:b w:val="0"/>
                <w:bCs/>
                <w:color w:val="auto"/>
                <w:sz w:val="24"/>
                <w:highlight w:val="none"/>
              </w:rPr>
              <w:t>国产</w:t>
            </w:r>
          </w:p>
        </w:tc>
      </w:tr>
      <w:tr w14:paraId="7F034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Merge w:val="continue"/>
            <w:vAlign w:val="center"/>
          </w:tcPr>
          <w:p w14:paraId="7F034551">
            <w:pPr>
              <w:jc w:val="left"/>
              <w:rPr>
                <w:b w:val="0"/>
                <w:bCs/>
                <w:color w:val="auto"/>
                <w:spacing w:val="10"/>
                <w:sz w:val="24"/>
                <w:highlight w:val="none"/>
              </w:rPr>
            </w:pPr>
          </w:p>
        </w:tc>
        <w:tc>
          <w:tcPr>
            <w:tcW w:w="1276" w:type="dxa"/>
            <w:vAlign w:val="center"/>
          </w:tcPr>
          <w:p w14:paraId="7F034552">
            <w:pPr>
              <w:jc w:val="center"/>
              <w:rPr>
                <w:b w:val="0"/>
                <w:bCs/>
                <w:color w:val="auto"/>
                <w:sz w:val="24"/>
                <w:highlight w:val="none"/>
              </w:rPr>
            </w:pPr>
            <w:r>
              <w:rPr>
                <w:b w:val="0"/>
                <w:bCs/>
                <w:color w:val="auto"/>
                <w:sz w:val="24"/>
                <w:highlight w:val="none"/>
              </w:rPr>
              <w:t>铜排</w:t>
            </w:r>
          </w:p>
        </w:tc>
        <w:tc>
          <w:tcPr>
            <w:tcW w:w="2660" w:type="dxa"/>
            <w:vMerge w:val="continue"/>
            <w:vAlign w:val="center"/>
          </w:tcPr>
          <w:p w14:paraId="7F034553">
            <w:pPr>
              <w:jc w:val="left"/>
              <w:rPr>
                <w:b w:val="0"/>
                <w:bCs/>
                <w:color w:val="auto"/>
                <w:sz w:val="24"/>
                <w:highlight w:val="none"/>
              </w:rPr>
            </w:pPr>
          </w:p>
        </w:tc>
      </w:tr>
    </w:tbl>
    <w:p w14:paraId="7F034555">
      <w:pPr>
        <w:spacing w:line="500" w:lineRule="exact"/>
        <w:rPr>
          <w:b w:val="0"/>
          <w:bCs/>
          <w:color w:val="auto"/>
          <w:spacing w:val="10"/>
          <w:sz w:val="24"/>
          <w:highlight w:val="none"/>
        </w:rPr>
      </w:pPr>
      <w:r>
        <w:rPr>
          <w:b w:val="0"/>
          <w:bCs/>
          <w:color w:val="auto"/>
          <w:spacing w:val="10"/>
          <w:sz w:val="24"/>
          <w:highlight w:val="none"/>
        </w:rPr>
        <w:t>6.6 稳弧搅拌系统</w:t>
      </w:r>
    </w:p>
    <w:p w14:paraId="7F034556">
      <w:pPr>
        <w:spacing w:line="500" w:lineRule="exact"/>
        <w:ind w:firstLine="520" w:firstLineChars="200"/>
        <w:rPr>
          <w:b w:val="0"/>
          <w:bCs/>
          <w:color w:val="auto"/>
          <w:spacing w:val="10"/>
          <w:sz w:val="24"/>
          <w:highlight w:val="none"/>
        </w:rPr>
      </w:pPr>
      <w:r>
        <w:rPr>
          <w:b w:val="0"/>
          <w:bCs/>
          <w:color w:val="auto"/>
          <w:spacing w:val="10"/>
          <w:sz w:val="24"/>
          <w:highlight w:val="none"/>
        </w:rPr>
        <w:t>稳弧系统的电磁搅拌线圈绕在固定在内水套上，包括电磁搅拌线圈的电源接入点。内水套与外水套多点连接，确保同轴，便于稳弧线圈维保时的拆装。</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4"/>
        <w:gridCol w:w="1942"/>
        <w:gridCol w:w="2552"/>
      </w:tblGrid>
      <w:tr w14:paraId="7F03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Align w:val="center"/>
          </w:tcPr>
          <w:p w14:paraId="7F034557">
            <w:pPr>
              <w:jc w:val="center"/>
              <w:rPr>
                <w:b w:val="0"/>
                <w:bCs/>
                <w:color w:val="auto"/>
                <w:spacing w:val="10"/>
                <w:sz w:val="24"/>
                <w:highlight w:val="none"/>
              </w:rPr>
            </w:pPr>
            <w:r>
              <w:rPr>
                <w:b w:val="0"/>
                <w:bCs/>
                <w:color w:val="auto"/>
                <w:spacing w:val="10"/>
                <w:sz w:val="24"/>
                <w:highlight w:val="none"/>
              </w:rPr>
              <w:t>技术要求</w:t>
            </w:r>
          </w:p>
        </w:tc>
        <w:tc>
          <w:tcPr>
            <w:tcW w:w="3936" w:type="dxa"/>
            <w:gridSpan w:val="2"/>
            <w:vAlign w:val="center"/>
          </w:tcPr>
          <w:p w14:paraId="7F034558">
            <w:pPr>
              <w:jc w:val="center"/>
              <w:rPr>
                <w:b w:val="0"/>
                <w:bCs/>
                <w:color w:val="auto"/>
                <w:spacing w:val="10"/>
                <w:sz w:val="24"/>
                <w:highlight w:val="none"/>
              </w:rPr>
            </w:pPr>
            <w:r>
              <w:rPr>
                <w:b w:val="0"/>
                <w:bCs/>
                <w:color w:val="auto"/>
                <w:spacing w:val="10"/>
                <w:sz w:val="24"/>
                <w:highlight w:val="none"/>
              </w:rPr>
              <w:t>配置要求</w:t>
            </w:r>
          </w:p>
        </w:tc>
      </w:tr>
      <w:tr w14:paraId="7F03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Merge w:val="restart"/>
            <w:vAlign w:val="center"/>
          </w:tcPr>
          <w:p w14:paraId="7F03455A">
            <w:pPr>
              <w:pStyle w:val="334"/>
              <w:numPr>
                <w:ilvl w:val="0"/>
                <w:numId w:val="7"/>
              </w:numPr>
              <w:rPr>
                <w:rFonts w:ascii="Times New Roman" w:hAnsi="Times New Roman"/>
                <w:b w:val="0"/>
                <w:bCs/>
                <w:color w:val="auto"/>
                <w:sz w:val="24"/>
                <w:highlight w:val="none"/>
              </w:rPr>
            </w:pPr>
            <w:r>
              <w:rPr>
                <w:rFonts w:ascii="Times New Roman" w:hAnsi="Times New Roman"/>
                <w:b w:val="0"/>
                <w:bCs/>
                <w:color w:val="auto"/>
                <w:sz w:val="24"/>
                <w:highlight w:val="none"/>
              </w:rPr>
              <w:t>稳弧电流：</w:t>
            </w:r>
            <w:r>
              <w:rPr>
                <w:rFonts w:hint="eastAsia" w:ascii="Times New Roman" w:hAnsi="Times New Roman" w:cs="Times New Roman"/>
                <w:b w:val="0"/>
                <w:bCs/>
                <w:color w:val="auto"/>
                <w:spacing w:val="10"/>
                <w:sz w:val="24"/>
                <w:highlight w:val="none"/>
              </w:rPr>
              <w:t>0～30A（电源可正负极切换）</w:t>
            </w:r>
          </w:p>
          <w:p w14:paraId="7F03455B">
            <w:pPr>
              <w:pStyle w:val="334"/>
              <w:numPr>
                <w:ilvl w:val="0"/>
                <w:numId w:val="7"/>
              </w:numPr>
              <w:ind w:left="0" w:firstLine="0"/>
              <w:rPr>
                <w:rFonts w:ascii="Times New Roman" w:hAnsi="Times New Roman"/>
                <w:b w:val="0"/>
                <w:bCs/>
                <w:color w:val="auto"/>
                <w:sz w:val="24"/>
                <w:highlight w:val="none"/>
              </w:rPr>
            </w:pPr>
            <w:r>
              <w:rPr>
                <w:rFonts w:ascii="Times New Roman" w:hAnsi="Times New Roman"/>
                <w:b w:val="0"/>
                <w:bCs/>
                <w:color w:val="auto"/>
                <w:sz w:val="24"/>
                <w:highlight w:val="none"/>
              </w:rPr>
              <w:t>磁场强度：</w:t>
            </w:r>
            <w:r>
              <w:rPr>
                <w:rFonts w:hint="eastAsia" w:ascii="Times New Roman" w:hAnsi="Times New Roman" w:cs="Times New Roman"/>
                <w:b w:val="0"/>
                <w:bCs/>
                <w:color w:val="auto"/>
                <w:spacing w:val="10"/>
                <w:sz w:val="24"/>
                <w:highlight w:val="none"/>
              </w:rPr>
              <w:t>0~75Gauss</w:t>
            </w:r>
          </w:p>
          <w:p w14:paraId="7F03455C">
            <w:pPr>
              <w:pStyle w:val="334"/>
              <w:numPr>
                <w:ilvl w:val="0"/>
                <w:numId w:val="7"/>
              </w:numPr>
              <w:ind w:left="0" w:firstLine="0"/>
              <w:rPr>
                <w:rFonts w:ascii="Times New Roman" w:hAnsi="Times New Roman"/>
                <w:b w:val="0"/>
                <w:bCs/>
                <w:color w:val="auto"/>
                <w:spacing w:val="10"/>
                <w:sz w:val="24"/>
                <w:highlight w:val="none"/>
              </w:rPr>
            </w:pPr>
            <w:r>
              <w:rPr>
                <w:rFonts w:ascii="Times New Roman" w:hAnsi="Times New Roman"/>
                <w:b w:val="0"/>
                <w:bCs/>
                <w:color w:val="auto"/>
                <w:sz w:val="24"/>
                <w:highlight w:val="none"/>
              </w:rPr>
              <w:t>时间：</w:t>
            </w:r>
            <w:r>
              <w:rPr>
                <w:rFonts w:hint="eastAsia" w:ascii="Times New Roman" w:hAnsi="Times New Roman" w:cs="Times New Roman"/>
                <w:b w:val="0"/>
                <w:bCs/>
                <w:color w:val="auto"/>
                <w:spacing w:val="10"/>
                <w:sz w:val="24"/>
                <w:highlight w:val="none"/>
              </w:rPr>
              <w:t>1~300s</w:t>
            </w:r>
          </w:p>
          <w:p w14:paraId="7F03455D">
            <w:pPr>
              <w:pStyle w:val="334"/>
              <w:numPr>
                <w:ilvl w:val="0"/>
                <w:numId w:val="7"/>
              </w:numPr>
              <w:ind w:left="0" w:firstLine="0"/>
              <w:rPr>
                <w:rFonts w:ascii="Times New Roman" w:hAnsi="Times New Roman"/>
                <w:b w:val="0"/>
                <w:bCs/>
                <w:color w:val="auto"/>
                <w:spacing w:val="10"/>
                <w:sz w:val="24"/>
                <w:highlight w:val="none"/>
              </w:rPr>
            </w:pPr>
            <w:r>
              <w:rPr>
                <w:rFonts w:ascii="Times New Roman" w:hAnsi="Times New Roman"/>
                <w:b w:val="0"/>
                <w:bCs/>
                <w:color w:val="auto"/>
                <w:sz w:val="24"/>
                <w:highlight w:val="none"/>
              </w:rPr>
              <w:t>底部到顶部磁场偏差不大于</w:t>
            </w:r>
            <w:r>
              <w:rPr>
                <w:rFonts w:hint="eastAsia" w:ascii="Times New Roman" w:hAnsi="Times New Roman" w:cs="Times New Roman"/>
                <w:b w:val="0"/>
                <w:bCs/>
                <w:color w:val="auto"/>
                <w:spacing w:val="10"/>
                <w:sz w:val="24"/>
                <w:highlight w:val="none"/>
              </w:rPr>
              <w:t>5%（不包括坩埚口向下450mm范围）</w:t>
            </w:r>
          </w:p>
          <w:p w14:paraId="7F03455E">
            <w:pPr>
              <w:pStyle w:val="334"/>
              <w:numPr>
                <w:ilvl w:val="0"/>
                <w:numId w:val="7"/>
              </w:numPr>
              <w:ind w:left="0" w:firstLine="0"/>
              <w:rPr>
                <w:rFonts w:ascii="Times New Roman" w:hAnsi="Times New Roman"/>
                <w:b w:val="0"/>
                <w:bCs/>
                <w:color w:val="auto"/>
                <w:spacing w:val="10"/>
                <w:sz w:val="24"/>
                <w:highlight w:val="none"/>
              </w:rPr>
            </w:pPr>
            <w:r>
              <w:rPr>
                <w:rFonts w:ascii="Times New Roman" w:hAnsi="Times New Roman"/>
                <w:b w:val="0"/>
                <w:bCs/>
                <w:color w:val="auto"/>
                <w:sz w:val="24"/>
                <w:highlight w:val="none"/>
              </w:rPr>
              <w:t>横截面磁场偏差不大于</w:t>
            </w:r>
            <w:r>
              <w:rPr>
                <w:rFonts w:hint="eastAsia" w:ascii="Times New Roman" w:hAnsi="Times New Roman" w:cs="Times New Roman"/>
                <w:b w:val="0"/>
                <w:bCs/>
                <w:color w:val="auto"/>
                <w:spacing w:val="10"/>
                <w:sz w:val="24"/>
                <w:highlight w:val="none"/>
              </w:rPr>
              <w:t>5%。</w:t>
            </w:r>
          </w:p>
        </w:tc>
        <w:tc>
          <w:tcPr>
            <w:tcW w:w="1701" w:type="dxa"/>
            <w:vAlign w:val="center"/>
          </w:tcPr>
          <w:p w14:paraId="7F03455F">
            <w:pPr>
              <w:jc w:val="center"/>
              <w:rPr>
                <w:b w:val="0"/>
                <w:bCs/>
                <w:color w:val="auto"/>
                <w:sz w:val="24"/>
                <w:highlight w:val="none"/>
              </w:rPr>
            </w:pPr>
            <w:r>
              <w:rPr>
                <w:b w:val="0"/>
                <w:bCs/>
                <w:color w:val="auto"/>
                <w:sz w:val="24"/>
                <w:highlight w:val="none"/>
              </w:rPr>
              <w:t>稳弧线圈</w:t>
            </w:r>
          </w:p>
          <w:p w14:paraId="7F034560">
            <w:pPr>
              <w:jc w:val="center"/>
              <w:rPr>
                <w:b w:val="0"/>
                <w:bCs/>
                <w:color w:val="auto"/>
                <w:sz w:val="24"/>
                <w:highlight w:val="none"/>
              </w:rPr>
            </w:pPr>
            <w:r>
              <w:rPr>
                <w:b w:val="0"/>
                <w:bCs/>
                <w:color w:val="auto"/>
                <w:sz w:val="24"/>
                <w:highlight w:val="none"/>
              </w:rPr>
              <w:t>及其供电部件</w:t>
            </w:r>
          </w:p>
        </w:tc>
        <w:tc>
          <w:tcPr>
            <w:tcW w:w="2235" w:type="dxa"/>
            <w:vAlign w:val="center"/>
          </w:tcPr>
          <w:p w14:paraId="7F034561">
            <w:pPr>
              <w:ind w:firstLine="480" w:firstLineChars="200"/>
              <w:jc w:val="left"/>
              <w:rPr>
                <w:b w:val="0"/>
                <w:bCs/>
                <w:color w:val="auto"/>
                <w:sz w:val="24"/>
                <w:highlight w:val="none"/>
              </w:rPr>
            </w:pPr>
            <w:r>
              <w:rPr>
                <w:b w:val="0"/>
                <w:bCs/>
                <w:color w:val="auto"/>
                <w:sz w:val="24"/>
                <w:highlight w:val="none"/>
              </w:rPr>
              <w:t>国产或进口</w:t>
            </w:r>
          </w:p>
        </w:tc>
      </w:tr>
      <w:tr w14:paraId="7F0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Merge w:val="continue"/>
            <w:vAlign w:val="center"/>
          </w:tcPr>
          <w:p w14:paraId="7F034563">
            <w:pPr>
              <w:jc w:val="left"/>
              <w:rPr>
                <w:b w:val="0"/>
                <w:bCs/>
                <w:color w:val="auto"/>
                <w:spacing w:val="10"/>
                <w:sz w:val="24"/>
                <w:highlight w:val="none"/>
              </w:rPr>
            </w:pPr>
          </w:p>
        </w:tc>
        <w:tc>
          <w:tcPr>
            <w:tcW w:w="1701" w:type="dxa"/>
            <w:vAlign w:val="center"/>
          </w:tcPr>
          <w:p w14:paraId="7F034564">
            <w:pPr>
              <w:jc w:val="center"/>
              <w:rPr>
                <w:b w:val="0"/>
                <w:bCs/>
                <w:color w:val="auto"/>
                <w:sz w:val="24"/>
                <w:highlight w:val="none"/>
              </w:rPr>
            </w:pPr>
            <w:r>
              <w:rPr>
                <w:b w:val="0"/>
                <w:bCs/>
                <w:color w:val="auto"/>
                <w:sz w:val="24"/>
                <w:highlight w:val="none"/>
              </w:rPr>
              <w:t>稳弧控制设备</w:t>
            </w:r>
          </w:p>
        </w:tc>
        <w:tc>
          <w:tcPr>
            <w:tcW w:w="2235" w:type="dxa"/>
            <w:vAlign w:val="center"/>
          </w:tcPr>
          <w:p w14:paraId="7F034565">
            <w:pPr>
              <w:jc w:val="center"/>
              <w:rPr>
                <w:b w:val="0"/>
                <w:bCs/>
                <w:color w:val="auto"/>
                <w:sz w:val="24"/>
                <w:highlight w:val="none"/>
              </w:rPr>
            </w:pPr>
            <w:r>
              <w:rPr>
                <w:b w:val="0"/>
                <w:bCs/>
                <w:color w:val="auto"/>
                <w:sz w:val="24"/>
                <w:highlight w:val="none"/>
              </w:rPr>
              <w:t>进口</w:t>
            </w:r>
          </w:p>
        </w:tc>
      </w:tr>
    </w:tbl>
    <w:p w14:paraId="7F034567">
      <w:pPr>
        <w:spacing w:line="500" w:lineRule="exact"/>
        <w:rPr>
          <w:b w:val="0"/>
          <w:bCs/>
          <w:color w:val="auto"/>
          <w:spacing w:val="10"/>
          <w:sz w:val="24"/>
          <w:highlight w:val="none"/>
        </w:rPr>
      </w:pPr>
      <w:r>
        <w:rPr>
          <w:b w:val="0"/>
          <w:bCs/>
          <w:color w:val="auto"/>
          <w:spacing w:val="10"/>
          <w:sz w:val="24"/>
          <w:highlight w:val="none"/>
        </w:rPr>
        <w:t>6.7 高精度称重系统</w:t>
      </w:r>
    </w:p>
    <w:p w14:paraId="7F034568">
      <w:pPr>
        <w:spacing w:line="500" w:lineRule="exact"/>
        <w:ind w:firstLine="520" w:firstLineChars="200"/>
        <w:rPr>
          <w:b w:val="0"/>
          <w:bCs/>
          <w:color w:val="auto"/>
          <w:spacing w:val="10"/>
          <w:sz w:val="24"/>
          <w:highlight w:val="none"/>
        </w:rPr>
      </w:pPr>
      <w:r>
        <w:rPr>
          <w:b w:val="0"/>
          <w:bCs/>
          <w:color w:val="auto"/>
          <w:spacing w:val="10"/>
          <w:sz w:val="24"/>
          <w:highlight w:val="none"/>
        </w:rPr>
        <w:t>电子称重系统应能够精确计算熔化速率，并准确使熔炼进入补缩、或跳闸等阶段，应使称重系统以最大可能的灵敏度反映机械和电器指令。</w:t>
      </w:r>
    </w:p>
    <w:p w14:paraId="7F034569">
      <w:pPr>
        <w:spacing w:line="500" w:lineRule="exact"/>
        <w:ind w:firstLine="520" w:firstLineChars="200"/>
        <w:rPr>
          <w:b w:val="0"/>
          <w:bCs/>
          <w:color w:val="auto"/>
          <w:spacing w:val="10"/>
          <w:sz w:val="24"/>
          <w:highlight w:val="none"/>
        </w:rPr>
      </w:pPr>
      <w:r>
        <w:rPr>
          <w:b w:val="0"/>
          <w:bCs/>
          <w:color w:val="auto"/>
          <w:spacing w:val="10"/>
          <w:sz w:val="24"/>
          <w:highlight w:val="none"/>
        </w:rPr>
        <w:t>使用高精度、带温度补偿、带电屏蔽的称重传感器（精度等级0.03%）。使用高精度电测量系统，快速计算熔化速率。使用载波频率向称重传感器输送信号，接收调制信号，以避免噪声和零点漂移问题。</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4"/>
        <w:gridCol w:w="4494"/>
      </w:tblGrid>
      <w:tr w14:paraId="7F03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Align w:val="center"/>
          </w:tcPr>
          <w:p w14:paraId="7F03456A">
            <w:pPr>
              <w:jc w:val="center"/>
              <w:rPr>
                <w:b w:val="0"/>
                <w:bCs/>
                <w:color w:val="auto"/>
                <w:spacing w:val="10"/>
                <w:sz w:val="24"/>
                <w:highlight w:val="none"/>
              </w:rPr>
            </w:pPr>
            <w:r>
              <w:rPr>
                <w:b w:val="0"/>
                <w:bCs/>
                <w:color w:val="auto"/>
                <w:spacing w:val="10"/>
                <w:sz w:val="24"/>
                <w:highlight w:val="none"/>
              </w:rPr>
              <w:t>技术要求</w:t>
            </w:r>
          </w:p>
        </w:tc>
        <w:tc>
          <w:tcPr>
            <w:tcW w:w="3936" w:type="dxa"/>
            <w:vAlign w:val="center"/>
          </w:tcPr>
          <w:p w14:paraId="7F03456B">
            <w:pPr>
              <w:jc w:val="center"/>
              <w:rPr>
                <w:b w:val="0"/>
                <w:bCs/>
                <w:color w:val="auto"/>
                <w:spacing w:val="10"/>
                <w:sz w:val="24"/>
                <w:highlight w:val="none"/>
              </w:rPr>
            </w:pPr>
            <w:r>
              <w:rPr>
                <w:b w:val="0"/>
                <w:bCs/>
                <w:color w:val="auto"/>
                <w:spacing w:val="10"/>
                <w:sz w:val="24"/>
                <w:highlight w:val="none"/>
              </w:rPr>
              <w:t>配置要求</w:t>
            </w:r>
          </w:p>
        </w:tc>
      </w:tr>
      <w:tr w14:paraId="7F03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5" w:type="dxa"/>
            <w:vAlign w:val="center"/>
          </w:tcPr>
          <w:p w14:paraId="7F03456D">
            <w:pPr>
              <w:pStyle w:val="334"/>
              <w:numPr>
                <w:ilvl w:val="0"/>
                <w:numId w:val="8"/>
              </w:numPr>
              <w:ind w:left="0" w:firstLine="0"/>
              <w:rPr>
                <w:rFonts w:ascii="Times New Roman" w:hAnsi="Times New Roman"/>
                <w:b w:val="0"/>
                <w:bCs/>
                <w:color w:val="auto"/>
                <w:sz w:val="24"/>
                <w:highlight w:val="none"/>
              </w:rPr>
            </w:pPr>
            <w:r>
              <w:rPr>
                <w:rFonts w:ascii="Times New Roman" w:hAnsi="Times New Roman"/>
                <w:b w:val="0"/>
                <w:bCs/>
                <w:color w:val="auto"/>
                <w:sz w:val="24"/>
                <w:highlight w:val="none"/>
              </w:rPr>
              <w:t>称重传感器量程：</w:t>
            </w:r>
          </w:p>
          <w:p w14:paraId="7F03456E">
            <w:pPr>
              <w:pStyle w:val="334"/>
              <w:ind w:left="0" w:firstLine="520" w:firstLineChars="200"/>
              <w:rPr>
                <w:rFonts w:ascii="Times New Roman" w:hAnsi="Times New Roman" w:cs="Times New Roman"/>
                <w:b w:val="0"/>
                <w:bCs/>
                <w:color w:val="auto"/>
                <w:spacing w:val="10"/>
                <w:sz w:val="24"/>
                <w:highlight w:val="none"/>
              </w:rPr>
            </w:pPr>
            <w:r>
              <w:rPr>
                <w:rFonts w:hint="eastAsia" w:ascii="Times New Roman" w:hAnsi="Times New Roman" w:cs="Times New Roman"/>
                <w:b w:val="0"/>
                <w:bCs/>
                <w:color w:val="auto"/>
                <w:spacing w:val="10"/>
                <w:sz w:val="24"/>
                <w:highlight w:val="none"/>
              </w:rPr>
              <w:t>1000kg电弧炉：0～2000Kg</w:t>
            </w:r>
          </w:p>
          <w:p w14:paraId="7F03456F">
            <w:pPr>
              <w:pStyle w:val="334"/>
              <w:ind w:left="0" w:firstLine="520" w:firstLineChars="200"/>
              <w:rPr>
                <w:rFonts w:ascii="Times New Roman" w:hAnsi="Times New Roman" w:cs="Times New Roman"/>
                <w:b w:val="0"/>
                <w:bCs/>
                <w:color w:val="auto"/>
                <w:spacing w:val="10"/>
                <w:sz w:val="24"/>
                <w:highlight w:val="none"/>
              </w:rPr>
            </w:pPr>
            <w:r>
              <w:rPr>
                <w:rFonts w:hint="eastAsia" w:ascii="Times New Roman" w:hAnsi="Times New Roman" w:cs="Times New Roman"/>
                <w:b w:val="0"/>
                <w:bCs/>
                <w:color w:val="auto"/>
                <w:spacing w:val="10"/>
                <w:sz w:val="24"/>
                <w:highlight w:val="none"/>
              </w:rPr>
              <w:t>300kg电弧炉：0～500kg</w:t>
            </w:r>
          </w:p>
          <w:p w14:paraId="7F034570">
            <w:pPr>
              <w:pStyle w:val="334"/>
              <w:ind w:left="0" w:firstLine="480" w:firstLineChars="200"/>
              <w:rPr>
                <w:rFonts w:ascii="Times New Roman" w:hAnsi="Times New Roman" w:cs="Times New Roman"/>
                <w:b w:val="0"/>
                <w:bCs/>
                <w:color w:val="auto"/>
                <w:sz w:val="24"/>
                <w:highlight w:val="none"/>
              </w:rPr>
            </w:pPr>
            <w:r>
              <w:rPr>
                <w:rFonts w:hint="eastAsia" w:ascii="Times New Roman" w:hAnsi="Times New Roman" w:cs="Times New Roman"/>
                <w:b w:val="0"/>
                <w:bCs/>
                <w:color w:val="auto"/>
                <w:sz w:val="24"/>
                <w:highlight w:val="none"/>
              </w:rPr>
              <w:t>以详细设计值为准。</w:t>
            </w:r>
          </w:p>
          <w:p w14:paraId="7F034571">
            <w:pPr>
              <w:pStyle w:val="334"/>
              <w:numPr>
                <w:ilvl w:val="0"/>
                <w:numId w:val="8"/>
              </w:numPr>
              <w:ind w:left="0" w:firstLine="0"/>
              <w:rPr>
                <w:rFonts w:ascii="Times New Roman" w:hAnsi="Times New Roman"/>
                <w:b w:val="0"/>
                <w:bCs/>
                <w:color w:val="auto"/>
                <w:spacing w:val="10"/>
                <w:sz w:val="24"/>
                <w:highlight w:val="none"/>
              </w:rPr>
            </w:pPr>
            <w:r>
              <w:rPr>
                <w:rFonts w:ascii="Times New Roman" w:hAnsi="Times New Roman"/>
                <w:b w:val="0"/>
                <w:bCs/>
                <w:color w:val="auto"/>
                <w:sz w:val="24"/>
                <w:highlight w:val="none"/>
              </w:rPr>
              <w:t>称重精度：</w:t>
            </w:r>
            <w:r>
              <w:rPr>
                <w:rFonts w:hint="eastAsia" w:ascii="Times New Roman" w:hAnsi="Times New Roman"/>
                <w:b w:val="0"/>
                <w:bCs/>
                <w:color w:val="auto"/>
                <w:sz w:val="24"/>
                <w:highlight w:val="none"/>
              </w:rPr>
              <w:t>通电动态稳定阶段不超过5kg</w:t>
            </w:r>
            <w:r>
              <w:rPr>
                <w:rFonts w:hint="eastAsia"/>
                <w:b w:val="0"/>
                <w:bCs/>
                <w:color w:val="auto"/>
                <w:highlight w:val="none"/>
              </w:rPr>
              <w:t>；</w:t>
            </w:r>
            <w:r>
              <w:rPr>
                <w:rFonts w:hint="eastAsia" w:ascii="Times New Roman" w:hAnsi="Times New Roman"/>
                <w:b w:val="0"/>
                <w:bCs/>
                <w:color w:val="auto"/>
                <w:sz w:val="24"/>
                <w:highlight w:val="none"/>
              </w:rPr>
              <w:t>冷态不超过0.10%。</w:t>
            </w:r>
          </w:p>
        </w:tc>
        <w:tc>
          <w:tcPr>
            <w:tcW w:w="3936" w:type="dxa"/>
            <w:vAlign w:val="center"/>
          </w:tcPr>
          <w:p w14:paraId="7F034572">
            <w:pPr>
              <w:ind w:firstLine="480" w:firstLineChars="200"/>
              <w:jc w:val="left"/>
              <w:rPr>
                <w:b w:val="0"/>
                <w:bCs/>
                <w:color w:val="auto"/>
                <w:sz w:val="24"/>
                <w:highlight w:val="none"/>
              </w:rPr>
            </w:pPr>
            <w:r>
              <w:rPr>
                <w:b w:val="0"/>
                <w:bCs/>
                <w:color w:val="auto"/>
                <w:sz w:val="24"/>
                <w:highlight w:val="none"/>
              </w:rPr>
              <w:t>进口</w:t>
            </w:r>
            <w:r>
              <w:rPr>
                <w:rFonts w:hint="eastAsia"/>
                <w:b w:val="0"/>
                <w:bCs/>
                <w:color w:val="auto"/>
                <w:sz w:val="24"/>
                <w:highlight w:val="none"/>
              </w:rPr>
              <w:t>（HBM、梅特勒托利多、威卡</w:t>
            </w:r>
            <w:r>
              <w:rPr>
                <w:rFonts w:hint="eastAsia"/>
                <w:b w:val="0"/>
                <w:bCs/>
                <w:color w:val="auto"/>
                <w:kern w:val="0"/>
                <w:sz w:val="24"/>
                <w:highlight w:val="none"/>
              </w:rPr>
              <w:t>等同级别品牌</w:t>
            </w:r>
            <w:r>
              <w:rPr>
                <w:rFonts w:hint="eastAsia"/>
                <w:b w:val="0"/>
                <w:bCs/>
                <w:color w:val="auto"/>
                <w:sz w:val="24"/>
                <w:highlight w:val="none"/>
              </w:rPr>
              <w:t>）。</w:t>
            </w:r>
          </w:p>
          <w:p w14:paraId="7F034573">
            <w:pPr>
              <w:ind w:firstLine="480" w:firstLineChars="200"/>
              <w:jc w:val="left"/>
              <w:rPr>
                <w:b w:val="0"/>
                <w:bCs/>
                <w:color w:val="auto"/>
                <w:sz w:val="24"/>
                <w:highlight w:val="none"/>
              </w:rPr>
            </w:pPr>
            <w:r>
              <w:rPr>
                <w:rFonts w:hint="eastAsia"/>
                <w:b w:val="0"/>
                <w:bCs/>
                <w:color w:val="auto"/>
                <w:sz w:val="24"/>
                <w:highlight w:val="none"/>
              </w:rPr>
              <w:t>量程在满足设备工艺要求的前提下，由中标单位选配。</w:t>
            </w:r>
          </w:p>
        </w:tc>
      </w:tr>
    </w:tbl>
    <w:p w14:paraId="7F034575">
      <w:pPr>
        <w:spacing w:line="500" w:lineRule="exact"/>
        <w:rPr>
          <w:b w:val="0"/>
          <w:bCs/>
          <w:color w:val="auto"/>
          <w:spacing w:val="10"/>
          <w:sz w:val="24"/>
          <w:highlight w:val="none"/>
        </w:rPr>
      </w:pPr>
      <w:r>
        <w:rPr>
          <w:b w:val="0"/>
          <w:bCs/>
          <w:color w:val="auto"/>
          <w:spacing w:val="10"/>
          <w:sz w:val="24"/>
          <w:highlight w:val="none"/>
        </w:rPr>
        <w:t>6.8 摄像成像系统、X-Y调节系统</w:t>
      </w:r>
    </w:p>
    <w:p w14:paraId="7F034576">
      <w:pPr>
        <w:spacing w:line="500" w:lineRule="exact"/>
        <w:rPr>
          <w:b w:val="0"/>
          <w:bCs/>
          <w:color w:val="auto"/>
          <w:spacing w:val="10"/>
          <w:sz w:val="24"/>
          <w:highlight w:val="none"/>
        </w:rPr>
      </w:pPr>
      <w:r>
        <w:rPr>
          <w:b w:val="0"/>
          <w:bCs/>
          <w:color w:val="auto"/>
          <w:spacing w:val="10"/>
          <w:sz w:val="24"/>
          <w:highlight w:val="none"/>
        </w:rPr>
        <w:t>6.8.1 采用彩色摄像机从炉盖上对称的两个观察孔分别对坩埚中的电弧进行观察，获得稳定的图像，并将各自拍摄画面显示在两台监视器上，以方便操作人员掌握炉内的熔炼情况及电弧的稳定情况。摄像系统安装在远程控制移动平台上，用于摄像机在观察孔上的定位，以便于在使用不同的结晶器直径时获得最佳的观察位置。设备的清晰度，以可以看到熔池在稳弧电流作用下的流动情况为准。</w:t>
      </w:r>
    </w:p>
    <w:p w14:paraId="7F034577">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摄像系统充分满足附录1、附录2工艺方案所述坩埚的熔炼观察，在此基础上，能够满足各电弧炉最小口径坩埚的熔炼观察。（最小口径坩埚的长度以最终设计为准）</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5"/>
        <w:gridCol w:w="6753"/>
      </w:tblGrid>
      <w:tr w14:paraId="7F03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85" w:type="dxa"/>
            <w:vAlign w:val="center"/>
          </w:tcPr>
          <w:p w14:paraId="7F034578">
            <w:pPr>
              <w:jc w:val="center"/>
              <w:rPr>
                <w:b w:val="0"/>
                <w:bCs/>
                <w:color w:val="auto"/>
                <w:spacing w:val="10"/>
                <w:sz w:val="24"/>
                <w:highlight w:val="none"/>
              </w:rPr>
            </w:pPr>
            <w:r>
              <w:rPr>
                <w:b w:val="0"/>
                <w:bCs/>
                <w:color w:val="auto"/>
                <w:spacing w:val="10"/>
                <w:sz w:val="24"/>
                <w:highlight w:val="none"/>
              </w:rPr>
              <w:t>技术要求</w:t>
            </w:r>
          </w:p>
        </w:tc>
        <w:tc>
          <w:tcPr>
            <w:tcW w:w="6753" w:type="dxa"/>
            <w:vAlign w:val="center"/>
          </w:tcPr>
          <w:p w14:paraId="7F034579">
            <w:pPr>
              <w:jc w:val="center"/>
              <w:rPr>
                <w:b w:val="0"/>
                <w:bCs/>
                <w:color w:val="auto"/>
                <w:spacing w:val="10"/>
                <w:sz w:val="24"/>
                <w:highlight w:val="none"/>
              </w:rPr>
            </w:pPr>
            <w:r>
              <w:rPr>
                <w:b w:val="0"/>
                <w:bCs/>
                <w:color w:val="auto"/>
                <w:spacing w:val="10"/>
                <w:sz w:val="24"/>
                <w:highlight w:val="none"/>
              </w:rPr>
              <w:t>配置要求</w:t>
            </w:r>
          </w:p>
        </w:tc>
      </w:tr>
      <w:tr w14:paraId="7F03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85" w:type="dxa"/>
            <w:vAlign w:val="center"/>
          </w:tcPr>
          <w:p w14:paraId="7F03457B">
            <w:pPr>
              <w:pStyle w:val="334"/>
              <w:ind w:left="0" w:firstLine="0"/>
              <w:rPr>
                <w:rFonts w:ascii="Times New Roman" w:hAnsi="Times New Roman" w:cs="Times New Roman"/>
                <w:b w:val="0"/>
                <w:bCs/>
                <w:color w:val="auto"/>
                <w:spacing w:val="10"/>
                <w:sz w:val="24"/>
                <w:highlight w:val="none"/>
              </w:rPr>
            </w:pPr>
            <w:r>
              <w:rPr>
                <w:rFonts w:hint="eastAsia" w:ascii="Times New Roman" w:hAnsi="Times New Roman" w:cs="Times New Roman"/>
                <w:b w:val="0"/>
                <w:bCs/>
                <w:color w:val="auto"/>
                <w:spacing w:val="10"/>
                <w:sz w:val="24"/>
                <w:highlight w:val="none"/>
              </w:rPr>
              <w:t>1000kg电弧炉：</w:t>
            </w:r>
          </w:p>
          <w:p w14:paraId="7F03457C">
            <w:pPr>
              <w:pStyle w:val="334"/>
              <w:ind w:left="0" w:firstLine="520" w:firstLineChars="200"/>
              <w:rPr>
                <w:rFonts w:ascii="Times New Roman" w:hAnsi="Times New Roman" w:cs="Times New Roman"/>
                <w:b w:val="0"/>
                <w:bCs/>
                <w:color w:val="auto"/>
                <w:spacing w:val="10"/>
                <w:sz w:val="24"/>
                <w:highlight w:val="none"/>
              </w:rPr>
            </w:pPr>
            <w:r>
              <w:rPr>
                <w:rFonts w:hint="eastAsia" w:ascii="Times New Roman" w:hAnsi="Times New Roman" w:cs="Times New Roman"/>
                <w:b w:val="0"/>
                <w:bCs/>
                <w:color w:val="auto"/>
                <w:spacing w:val="10"/>
                <w:sz w:val="24"/>
                <w:highlight w:val="none"/>
              </w:rPr>
              <w:t>Φ220～Φ480mm</w:t>
            </w:r>
          </w:p>
          <w:p w14:paraId="7F03457D">
            <w:pPr>
              <w:pStyle w:val="334"/>
              <w:ind w:left="0" w:firstLine="0"/>
              <w:rPr>
                <w:rFonts w:ascii="Times New Roman" w:hAnsi="Times New Roman" w:cs="Times New Roman"/>
                <w:b w:val="0"/>
                <w:bCs/>
                <w:color w:val="auto"/>
                <w:spacing w:val="10"/>
                <w:sz w:val="24"/>
                <w:highlight w:val="none"/>
              </w:rPr>
            </w:pPr>
            <w:r>
              <w:rPr>
                <w:rFonts w:hint="eastAsia" w:ascii="Times New Roman" w:hAnsi="Times New Roman" w:cs="Times New Roman"/>
                <w:b w:val="0"/>
                <w:bCs/>
                <w:color w:val="auto"/>
                <w:spacing w:val="10"/>
                <w:sz w:val="24"/>
                <w:highlight w:val="none"/>
              </w:rPr>
              <w:t>300kg电弧炉：</w:t>
            </w:r>
          </w:p>
          <w:p w14:paraId="7F03457E">
            <w:pPr>
              <w:pStyle w:val="334"/>
              <w:ind w:left="0" w:firstLine="520" w:firstLineChars="200"/>
              <w:rPr>
                <w:rFonts w:ascii="Times New Roman" w:hAnsi="Times New Roman"/>
                <w:b w:val="0"/>
                <w:bCs/>
                <w:color w:val="auto"/>
                <w:sz w:val="24"/>
                <w:highlight w:val="none"/>
              </w:rPr>
            </w:pPr>
            <w:r>
              <w:rPr>
                <w:rFonts w:hint="eastAsia" w:ascii="Times New Roman" w:hAnsi="Times New Roman" w:cs="Times New Roman"/>
                <w:b w:val="0"/>
                <w:bCs/>
                <w:color w:val="auto"/>
                <w:spacing w:val="10"/>
                <w:sz w:val="24"/>
                <w:highlight w:val="none"/>
              </w:rPr>
              <w:t>Φ120～Φ300mm</w:t>
            </w:r>
          </w:p>
        </w:tc>
        <w:tc>
          <w:tcPr>
            <w:tcW w:w="6753" w:type="dxa"/>
            <w:vAlign w:val="center"/>
          </w:tcPr>
          <w:p w14:paraId="7F03457F">
            <w:pPr>
              <w:numPr>
                <w:ilvl w:val="0"/>
                <w:numId w:val="9"/>
              </w:numPr>
              <w:ind w:left="357" w:hanging="357"/>
              <w:jc w:val="left"/>
              <w:rPr>
                <w:b w:val="0"/>
                <w:bCs/>
                <w:color w:val="auto"/>
                <w:spacing w:val="10"/>
                <w:sz w:val="24"/>
                <w:highlight w:val="none"/>
              </w:rPr>
            </w:pPr>
            <w:r>
              <w:rPr>
                <w:b w:val="0"/>
                <w:bCs/>
                <w:color w:val="auto"/>
                <w:sz w:val="24"/>
                <w:highlight w:val="none"/>
              </w:rPr>
              <w:t>摄像机采</w:t>
            </w:r>
            <w:r>
              <w:rPr>
                <w:b w:val="0"/>
                <w:bCs/>
                <w:color w:val="auto"/>
                <w:spacing w:val="10"/>
                <w:sz w:val="24"/>
                <w:highlight w:val="none"/>
              </w:rPr>
              <w:t>用</w:t>
            </w:r>
            <w:r>
              <w:rPr>
                <w:rFonts w:hint="eastAsia"/>
                <w:b w:val="0"/>
                <w:bCs/>
                <w:color w:val="auto"/>
                <w:spacing w:val="10"/>
                <w:sz w:val="24"/>
                <w:highlight w:val="none"/>
              </w:rPr>
              <w:t>海康威视等品牌的优质产品</w:t>
            </w:r>
            <w:r>
              <w:rPr>
                <w:b w:val="0"/>
                <w:bCs/>
                <w:color w:val="auto"/>
                <w:spacing w:val="10"/>
                <w:sz w:val="24"/>
                <w:highlight w:val="none"/>
              </w:rPr>
              <w:t>，并配备光学摄像头、变焦镜头、信号屏蔽处理系统、摄像机移动平台，确保在熔炼期间可以远程对图像的明暗、远近、焦距、清晰度以及观察位置进行调整。控制按钮的安装位置，应靠近在实施熔炼操作中的操作人员。</w:t>
            </w:r>
          </w:p>
          <w:p w14:paraId="7F034580">
            <w:pPr>
              <w:numPr>
                <w:ilvl w:val="0"/>
                <w:numId w:val="9"/>
              </w:numPr>
              <w:ind w:left="357" w:hanging="357"/>
              <w:jc w:val="left"/>
              <w:rPr>
                <w:b w:val="0"/>
                <w:bCs/>
                <w:color w:val="auto"/>
                <w:sz w:val="24"/>
                <w:highlight w:val="none"/>
              </w:rPr>
            </w:pPr>
            <w:r>
              <w:rPr>
                <w:b w:val="0"/>
                <w:bCs/>
                <w:color w:val="auto"/>
                <w:spacing w:val="10"/>
                <w:sz w:val="24"/>
                <w:highlight w:val="none"/>
              </w:rPr>
              <w:t>监视器选用国产或进口优质设备</w:t>
            </w:r>
          </w:p>
        </w:tc>
      </w:tr>
    </w:tbl>
    <w:p w14:paraId="7F034582">
      <w:pPr>
        <w:spacing w:line="500" w:lineRule="exact"/>
        <w:rPr>
          <w:b w:val="0"/>
          <w:bCs/>
          <w:color w:val="auto"/>
          <w:spacing w:val="10"/>
          <w:sz w:val="24"/>
          <w:highlight w:val="none"/>
        </w:rPr>
      </w:pPr>
      <w:r>
        <w:rPr>
          <w:b w:val="0"/>
          <w:bCs/>
          <w:color w:val="auto"/>
          <w:spacing w:val="10"/>
          <w:sz w:val="24"/>
          <w:highlight w:val="none"/>
        </w:rPr>
        <w:t>6.8.2  x-y调节系统应可靠完成自耗电极与坩埚的全方位对中调节。</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8168"/>
      </w:tblGrid>
      <w:tr w14:paraId="7F03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0" w:type="dxa"/>
            <w:vAlign w:val="center"/>
          </w:tcPr>
          <w:p w14:paraId="7F034583">
            <w:pPr>
              <w:jc w:val="center"/>
              <w:rPr>
                <w:b w:val="0"/>
                <w:bCs/>
                <w:color w:val="auto"/>
                <w:spacing w:val="10"/>
                <w:sz w:val="24"/>
                <w:highlight w:val="none"/>
              </w:rPr>
            </w:pPr>
            <w:r>
              <w:rPr>
                <w:b w:val="0"/>
                <w:bCs/>
                <w:color w:val="auto"/>
                <w:spacing w:val="10"/>
                <w:sz w:val="24"/>
                <w:highlight w:val="none"/>
              </w:rPr>
              <w:t>技术要求</w:t>
            </w:r>
          </w:p>
        </w:tc>
        <w:tc>
          <w:tcPr>
            <w:tcW w:w="8168" w:type="dxa"/>
            <w:vAlign w:val="center"/>
          </w:tcPr>
          <w:p w14:paraId="7F034584">
            <w:pPr>
              <w:jc w:val="center"/>
              <w:rPr>
                <w:b w:val="0"/>
                <w:bCs/>
                <w:color w:val="auto"/>
                <w:spacing w:val="10"/>
                <w:sz w:val="24"/>
                <w:highlight w:val="none"/>
              </w:rPr>
            </w:pPr>
            <w:r>
              <w:rPr>
                <w:b w:val="0"/>
                <w:bCs/>
                <w:color w:val="auto"/>
                <w:spacing w:val="10"/>
                <w:sz w:val="24"/>
                <w:highlight w:val="none"/>
              </w:rPr>
              <w:t>配置要求</w:t>
            </w:r>
          </w:p>
        </w:tc>
      </w:tr>
      <w:tr w14:paraId="7F03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470" w:type="dxa"/>
            <w:vAlign w:val="center"/>
          </w:tcPr>
          <w:p w14:paraId="7F034586">
            <w:pPr>
              <w:pStyle w:val="334"/>
              <w:ind w:firstLine="0"/>
              <w:jc w:val="center"/>
              <w:rPr>
                <w:rFonts w:ascii="Times New Roman" w:hAnsi="Times New Roman"/>
                <w:b w:val="0"/>
                <w:bCs/>
                <w:color w:val="auto"/>
                <w:spacing w:val="10"/>
                <w:sz w:val="24"/>
                <w:highlight w:val="none"/>
              </w:rPr>
            </w:pPr>
            <w:r>
              <w:rPr>
                <w:rFonts w:ascii="Times New Roman" w:hAnsi="Times New Roman"/>
                <w:b w:val="0"/>
                <w:bCs/>
                <w:color w:val="auto"/>
                <w:spacing w:val="10"/>
                <w:sz w:val="24"/>
                <w:highlight w:val="none"/>
              </w:rPr>
              <w:t>/</w:t>
            </w:r>
          </w:p>
        </w:tc>
        <w:tc>
          <w:tcPr>
            <w:tcW w:w="8168" w:type="dxa"/>
            <w:vAlign w:val="center"/>
          </w:tcPr>
          <w:p w14:paraId="7F034587">
            <w:pPr>
              <w:numPr>
                <w:ilvl w:val="0"/>
                <w:numId w:val="10"/>
              </w:numPr>
              <w:ind w:left="357" w:hanging="357"/>
              <w:jc w:val="left"/>
              <w:rPr>
                <w:b w:val="0"/>
                <w:bCs/>
                <w:color w:val="auto"/>
                <w:spacing w:val="10"/>
                <w:sz w:val="24"/>
                <w:highlight w:val="none"/>
              </w:rPr>
            </w:pPr>
            <w:r>
              <w:rPr>
                <w:b w:val="0"/>
                <w:bCs/>
                <w:color w:val="auto"/>
                <w:spacing w:val="10"/>
                <w:sz w:val="24"/>
                <w:highlight w:val="none"/>
              </w:rPr>
              <w:t>x-y调节系统的所有设备及部件采用国产或进口优质设备与材料制造。</w:t>
            </w:r>
          </w:p>
          <w:p w14:paraId="7F034588">
            <w:pPr>
              <w:numPr>
                <w:ilvl w:val="0"/>
                <w:numId w:val="10"/>
              </w:numPr>
              <w:ind w:left="357" w:hanging="357"/>
              <w:jc w:val="left"/>
              <w:rPr>
                <w:b w:val="0"/>
                <w:bCs/>
                <w:color w:val="auto"/>
                <w:sz w:val="24"/>
                <w:highlight w:val="none"/>
              </w:rPr>
            </w:pPr>
            <w:r>
              <w:rPr>
                <w:b w:val="0"/>
                <w:bCs/>
                <w:color w:val="auto"/>
                <w:spacing w:val="10"/>
                <w:sz w:val="24"/>
                <w:highlight w:val="none"/>
              </w:rPr>
              <w:t>应在炉头上设置可移动的操控手柄，便于x-y调节系统的操作。</w:t>
            </w:r>
          </w:p>
        </w:tc>
      </w:tr>
    </w:tbl>
    <w:p w14:paraId="7F03458A">
      <w:pPr>
        <w:spacing w:line="500" w:lineRule="exact"/>
        <w:rPr>
          <w:b w:val="0"/>
          <w:bCs/>
          <w:color w:val="auto"/>
          <w:spacing w:val="10"/>
          <w:sz w:val="24"/>
          <w:highlight w:val="none"/>
        </w:rPr>
      </w:pPr>
      <w:r>
        <w:rPr>
          <w:b w:val="0"/>
          <w:bCs/>
          <w:color w:val="auto"/>
          <w:spacing w:val="10"/>
          <w:sz w:val="24"/>
          <w:highlight w:val="none"/>
        </w:rPr>
        <w:t>6.9 计算机集成控制（操作）及数据信息管理系统</w:t>
      </w:r>
    </w:p>
    <w:p w14:paraId="7F03458B">
      <w:pPr>
        <w:spacing w:line="500" w:lineRule="exact"/>
        <w:ind w:firstLine="520" w:firstLineChars="200"/>
        <w:rPr>
          <w:b w:val="0"/>
          <w:bCs/>
          <w:color w:val="auto"/>
          <w:spacing w:val="10"/>
          <w:sz w:val="24"/>
          <w:highlight w:val="none"/>
        </w:rPr>
      </w:pPr>
      <w:r>
        <w:rPr>
          <w:b w:val="0"/>
          <w:bCs/>
          <w:color w:val="auto"/>
          <w:spacing w:val="10"/>
          <w:sz w:val="24"/>
          <w:highlight w:val="none"/>
        </w:rPr>
        <w:t>供方应基于以下对计算机控制（操作）及数信息管理系统的要求，向需方提供成熟稳定的软件和硬件配套，在确保所提供系统能工实现以下功能的基础上的其他额外功能需在投标文件中说明。</w:t>
      </w:r>
      <w:r>
        <w:rPr>
          <w:rFonts w:hint="eastAsia"/>
          <w:b w:val="0"/>
          <w:bCs/>
          <w:color w:val="auto"/>
          <w:spacing w:val="10"/>
          <w:sz w:val="24"/>
          <w:highlight w:val="none"/>
        </w:rPr>
        <w:t>乙方应全力配合甲方进行数据采集、集控以及产线自动化、数字化改造的相关工作，包括但不限于免费开放寄存器地址寄数据类型等。附录3为“信息化数据接口要求”。</w:t>
      </w:r>
    </w:p>
    <w:p w14:paraId="7F03458C">
      <w:pPr>
        <w:spacing w:line="500" w:lineRule="exact"/>
        <w:rPr>
          <w:b w:val="0"/>
          <w:bCs/>
          <w:color w:val="auto"/>
          <w:spacing w:val="10"/>
          <w:sz w:val="24"/>
          <w:highlight w:val="none"/>
        </w:rPr>
      </w:pPr>
      <w:r>
        <w:rPr>
          <w:b w:val="0"/>
          <w:bCs/>
          <w:color w:val="auto"/>
          <w:spacing w:val="10"/>
          <w:sz w:val="24"/>
          <w:highlight w:val="none"/>
        </w:rPr>
        <w:t>6.9.1 熔炼控制模式与控制要求</w:t>
      </w:r>
    </w:p>
    <w:p w14:paraId="7F03458D">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1000kg、300kg</w:t>
      </w:r>
      <w:r>
        <w:rPr>
          <w:b w:val="0"/>
          <w:bCs/>
          <w:color w:val="auto"/>
          <w:spacing w:val="10"/>
          <w:sz w:val="24"/>
          <w:highlight w:val="none"/>
        </w:rPr>
        <w:t>真空自耗电弧熔炼成套设备的熔炼过程与热封顶过程的冶炼模式为熔速控制模式与熔炼电流控制模式两种，并由PLC来控制。PLC从人机接口PC接受冶炼模式、操作模式、设备的状态信息，以及根据冶炼工艺参数设定实施控制。操作人员应当能够在菜单页上选择多个数据设定点进行工艺参数的编辑。</w:t>
      </w:r>
    </w:p>
    <w:p w14:paraId="7F03458E">
      <w:pPr>
        <w:spacing w:line="500" w:lineRule="exact"/>
        <w:rPr>
          <w:b w:val="0"/>
          <w:bCs/>
          <w:color w:val="auto"/>
          <w:spacing w:val="10"/>
          <w:sz w:val="24"/>
          <w:highlight w:val="none"/>
        </w:rPr>
      </w:pPr>
      <w:r>
        <w:rPr>
          <w:b w:val="0"/>
          <w:bCs/>
          <w:color w:val="auto"/>
          <w:spacing w:val="10"/>
          <w:sz w:val="24"/>
          <w:highlight w:val="none"/>
        </w:rPr>
        <w:t>起弧阶段：</w:t>
      </w:r>
    </w:p>
    <w:p w14:paraId="7F03458F">
      <w:pPr>
        <w:spacing w:line="500" w:lineRule="exact"/>
        <w:ind w:firstLine="520" w:firstLineChars="200"/>
        <w:rPr>
          <w:b w:val="0"/>
          <w:bCs/>
          <w:color w:val="auto"/>
          <w:spacing w:val="10"/>
          <w:sz w:val="24"/>
          <w:highlight w:val="none"/>
        </w:rPr>
      </w:pPr>
      <w:r>
        <w:rPr>
          <w:b w:val="0"/>
          <w:bCs/>
          <w:color w:val="auto"/>
          <w:spacing w:val="10"/>
          <w:sz w:val="24"/>
          <w:highlight w:val="none"/>
        </w:rPr>
        <w:t>在冶炼的开始阶段，计算机执行以以时间为基础的电流控制，即熔炼电流是计算机根据人工设定电流曲线中预选的时间来控制。在起弧阶段结束后，计算机自动执行向熔炼阶段的转换。操作人员应当能够在菜单页上选择多个数据设定点进行熔炼电流/时间曲线等工艺参数的编辑。</w:t>
      </w:r>
    </w:p>
    <w:p w14:paraId="7F034590">
      <w:pPr>
        <w:spacing w:line="500" w:lineRule="exact"/>
        <w:rPr>
          <w:b w:val="0"/>
          <w:bCs/>
          <w:color w:val="auto"/>
          <w:spacing w:val="10"/>
          <w:sz w:val="24"/>
          <w:highlight w:val="none"/>
        </w:rPr>
      </w:pPr>
      <w:r>
        <w:rPr>
          <w:b w:val="0"/>
          <w:bCs/>
          <w:color w:val="auto"/>
          <w:spacing w:val="10"/>
          <w:sz w:val="24"/>
          <w:highlight w:val="none"/>
        </w:rPr>
        <w:t>熔炼阶段：</w:t>
      </w:r>
    </w:p>
    <w:p w14:paraId="7F034591">
      <w:pPr>
        <w:spacing w:line="500" w:lineRule="exact"/>
        <w:ind w:firstLine="520" w:firstLineChars="200"/>
        <w:rPr>
          <w:b w:val="0"/>
          <w:bCs/>
          <w:color w:val="auto"/>
          <w:spacing w:val="10"/>
          <w:sz w:val="24"/>
          <w:highlight w:val="none"/>
        </w:rPr>
      </w:pPr>
      <w:r>
        <w:rPr>
          <w:b w:val="0"/>
          <w:bCs/>
          <w:color w:val="auto"/>
          <w:spacing w:val="10"/>
          <w:sz w:val="24"/>
          <w:highlight w:val="none"/>
        </w:rPr>
        <w:t>熔炼阶段即冶炼过程进入稳定期的阶段。为了达到一个稳定的熔炼工艺过程，操作人员应当能够在菜单页上选择多个数据设定点进行熔速或熔炼电流曲线（趋势）的编辑。当执行冶炼工艺时，人机接口PC可执行所选数据点间线性曲线，并循环地发送有效的设定值到熔炼控制系统，实现整个熔炼过程的熔速控制与电流控制。</w:t>
      </w:r>
    </w:p>
    <w:p w14:paraId="7F034592">
      <w:pPr>
        <w:spacing w:line="500" w:lineRule="exact"/>
        <w:ind w:firstLine="520" w:firstLineChars="200"/>
        <w:rPr>
          <w:b w:val="0"/>
          <w:bCs/>
          <w:color w:val="auto"/>
          <w:spacing w:val="10"/>
          <w:sz w:val="24"/>
          <w:highlight w:val="none"/>
        </w:rPr>
      </w:pPr>
      <w:r>
        <w:rPr>
          <w:b w:val="0"/>
          <w:bCs/>
          <w:color w:val="auto"/>
          <w:spacing w:val="10"/>
          <w:sz w:val="24"/>
          <w:highlight w:val="none"/>
        </w:rPr>
        <w:t>无论熔炼阶段采用何种控制模式，集成控制系统都应当能够实现从起弧阶段的电流控制向熔炼阶段的自动、顺利转换。当熔炼阶段为熔速控制时，在转换时，实际的熔速可能与设定的参考值存在偏差，此时，系统应能够快速反应并锁定到选择的熔化速率控制程序。</w:t>
      </w:r>
    </w:p>
    <w:p w14:paraId="7F034593">
      <w:pPr>
        <w:spacing w:line="500" w:lineRule="exact"/>
        <w:rPr>
          <w:b w:val="0"/>
          <w:bCs/>
          <w:color w:val="auto"/>
          <w:spacing w:val="10"/>
          <w:sz w:val="24"/>
          <w:highlight w:val="none"/>
        </w:rPr>
      </w:pPr>
      <w:r>
        <w:rPr>
          <w:b w:val="0"/>
          <w:bCs/>
          <w:color w:val="auto"/>
          <w:spacing w:val="10"/>
          <w:sz w:val="24"/>
          <w:highlight w:val="none"/>
        </w:rPr>
        <w:t>补缩阶段：</w:t>
      </w:r>
    </w:p>
    <w:p w14:paraId="7F034594">
      <w:pPr>
        <w:spacing w:line="500" w:lineRule="exact"/>
        <w:ind w:firstLine="520" w:firstLineChars="200"/>
        <w:rPr>
          <w:b w:val="0"/>
          <w:bCs/>
          <w:color w:val="auto"/>
          <w:spacing w:val="10"/>
          <w:sz w:val="24"/>
          <w:highlight w:val="none"/>
        </w:rPr>
      </w:pPr>
      <w:r>
        <w:rPr>
          <w:b w:val="0"/>
          <w:bCs/>
          <w:color w:val="auto"/>
          <w:spacing w:val="10"/>
          <w:sz w:val="24"/>
          <w:highlight w:val="none"/>
        </w:rPr>
        <w:t>当达到一个预设的剩余电极重量时，自动结束熔炼阶段自动控制，转入补缩阶段。补缩阶段实施以时间为基础的电流控制，熔炼阶段熔速控制时的电流将作为补缩阶段的开始电流。系统应能够实现由熔炼阶段向补缩阶段的自动控制的平滑转换。根据工艺规定的电流/时间曲线，减少功率，在程序结束时或达到工艺设定的熔末预留电极重量时，熔炼工艺应自动结束。</w:t>
      </w:r>
    </w:p>
    <w:p w14:paraId="7F034595">
      <w:pPr>
        <w:spacing w:line="500" w:lineRule="exact"/>
        <w:rPr>
          <w:b w:val="0"/>
          <w:bCs/>
          <w:color w:val="auto"/>
          <w:spacing w:val="10"/>
          <w:sz w:val="24"/>
          <w:highlight w:val="none"/>
        </w:rPr>
      </w:pPr>
      <w:r>
        <w:rPr>
          <w:b w:val="0"/>
          <w:bCs/>
          <w:color w:val="auto"/>
          <w:spacing w:val="10"/>
          <w:sz w:val="24"/>
          <w:highlight w:val="none"/>
        </w:rPr>
        <w:t>6.9.2 人机接口PC与控制软件</w:t>
      </w:r>
    </w:p>
    <w:p w14:paraId="7F034596">
      <w:pPr>
        <w:spacing w:line="500" w:lineRule="exact"/>
        <w:ind w:firstLine="520" w:firstLineChars="200"/>
        <w:rPr>
          <w:b w:val="0"/>
          <w:bCs/>
          <w:color w:val="auto"/>
          <w:spacing w:val="10"/>
          <w:sz w:val="24"/>
          <w:highlight w:val="none"/>
        </w:rPr>
      </w:pPr>
      <w:r>
        <w:rPr>
          <w:b w:val="0"/>
          <w:bCs/>
          <w:color w:val="auto"/>
          <w:spacing w:val="10"/>
          <w:sz w:val="24"/>
          <w:highlight w:val="none"/>
        </w:rPr>
        <w:t>设备控制系统的操作核心是一台上位计算机PC（人机接口）与PLC实施通信。系统应具备最大的可靠性。</w:t>
      </w:r>
    </w:p>
    <w:p w14:paraId="7F034597">
      <w:pPr>
        <w:spacing w:line="500" w:lineRule="exact"/>
        <w:ind w:firstLine="520" w:firstLineChars="200"/>
        <w:rPr>
          <w:b w:val="0"/>
          <w:bCs/>
          <w:color w:val="auto"/>
          <w:spacing w:val="10"/>
          <w:sz w:val="24"/>
          <w:highlight w:val="none"/>
        </w:rPr>
      </w:pPr>
      <w:r>
        <w:rPr>
          <w:b w:val="0"/>
          <w:bCs/>
          <w:color w:val="auto"/>
          <w:spacing w:val="10"/>
          <w:sz w:val="24"/>
          <w:highlight w:val="none"/>
        </w:rPr>
        <w:t>PC应实现以下功能：</w:t>
      </w:r>
    </w:p>
    <w:p w14:paraId="7F034598">
      <w:pPr>
        <w:numPr>
          <w:ilvl w:val="0"/>
          <w:numId w:val="11"/>
        </w:numPr>
        <w:spacing w:line="500" w:lineRule="exact"/>
        <w:rPr>
          <w:b w:val="0"/>
          <w:bCs/>
          <w:color w:val="auto"/>
          <w:spacing w:val="10"/>
          <w:sz w:val="24"/>
          <w:highlight w:val="none"/>
        </w:rPr>
      </w:pPr>
      <w:r>
        <w:rPr>
          <w:b w:val="0"/>
          <w:bCs/>
          <w:color w:val="auto"/>
          <w:spacing w:val="10"/>
          <w:sz w:val="24"/>
          <w:highlight w:val="none"/>
        </w:rPr>
        <w:t>操作人员对熔炼控过程的制通过计算机软件实现。因此应当设置三道权限：设备管理权限（可以退出软件，进入计算机操作系统进行电脑维护、原始工艺/设备数据拷贝等）；工艺权限（在软件界面内，进行工艺参数的设定、存储与永久性修改，无权退出系统）；操作权限（在软件界面内，进行焊接、真空系统/水循环系统的启闭、曲线查阅、临时改动工艺参数等，无权退出系统，无权设定与永久性修改工艺参数）。</w:t>
      </w:r>
    </w:p>
    <w:p w14:paraId="7F034599">
      <w:pPr>
        <w:numPr>
          <w:ilvl w:val="0"/>
          <w:numId w:val="11"/>
        </w:numPr>
        <w:spacing w:line="500" w:lineRule="exact"/>
        <w:rPr>
          <w:b w:val="0"/>
          <w:bCs/>
          <w:color w:val="auto"/>
          <w:spacing w:val="10"/>
          <w:sz w:val="24"/>
          <w:highlight w:val="none"/>
        </w:rPr>
      </w:pPr>
      <w:r>
        <w:rPr>
          <w:b w:val="0"/>
          <w:bCs/>
          <w:color w:val="auto"/>
          <w:kern w:val="0"/>
          <w:sz w:val="24"/>
          <w:highlight w:val="none"/>
        </w:rPr>
        <w:t>炉子焊接工艺、熔炼工艺、抽空、水冷和故障警告的控制通过由软件提供的可视画面执行。应用游标控制键或鼠标键入命令执行，操作应简易、直观。</w:t>
      </w:r>
    </w:p>
    <w:p w14:paraId="7F03459A">
      <w:pPr>
        <w:spacing w:line="500" w:lineRule="exact"/>
        <w:ind w:firstLine="480" w:firstLineChars="200"/>
        <w:rPr>
          <w:b w:val="0"/>
          <w:bCs/>
          <w:color w:val="auto"/>
          <w:spacing w:val="10"/>
          <w:sz w:val="24"/>
          <w:highlight w:val="none"/>
        </w:rPr>
      </w:pPr>
      <w:r>
        <w:rPr>
          <w:b w:val="0"/>
          <w:bCs/>
          <w:color w:val="auto"/>
          <w:kern w:val="0"/>
          <w:sz w:val="24"/>
          <w:highlight w:val="none"/>
        </w:rPr>
        <w:t>起弧阶段工艺参数的设定与修改内容包括：</w:t>
      </w:r>
      <w:r>
        <w:rPr>
          <w:b w:val="0"/>
          <w:bCs/>
          <w:color w:val="auto"/>
          <w:spacing w:val="10"/>
          <w:sz w:val="24"/>
          <w:highlight w:val="none"/>
        </w:rPr>
        <w:t>熔炼电流、熔炼电压、稳弧电流、时间，等等；</w:t>
      </w:r>
    </w:p>
    <w:p w14:paraId="7F03459B">
      <w:pPr>
        <w:spacing w:line="500" w:lineRule="exact"/>
        <w:ind w:firstLine="480" w:firstLineChars="200"/>
        <w:rPr>
          <w:b w:val="0"/>
          <w:bCs/>
          <w:color w:val="auto"/>
          <w:spacing w:val="10"/>
          <w:sz w:val="24"/>
          <w:highlight w:val="none"/>
        </w:rPr>
      </w:pPr>
      <w:r>
        <w:rPr>
          <w:b w:val="0"/>
          <w:bCs/>
          <w:color w:val="auto"/>
          <w:kern w:val="0"/>
          <w:sz w:val="24"/>
          <w:highlight w:val="none"/>
        </w:rPr>
        <w:t>熔炼阶段工艺参数的设定与修改内容包括：</w:t>
      </w:r>
      <w:r>
        <w:rPr>
          <w:b w:val="0"/>
          <w:bCs/>
          <w:color w:val="auto"/>
          <w:spacing w:val="10"/>
          <w:sz w:val="24"/>
          <w:highlight w:val="none"/>
        </w:rPr>
        <w:t>熔炼电流、熔炼电压、稳弧电流、电极重量，等等；</w:t>
      </w:r>
    </w:p>
    <w:p w14:paraId="7F03459C">
      <w:pPr>
        <w:spacing w:line="500" w:lineRule="exact"/>
        <w:ind w:firstLine="520" w:firstLineChars="200"/>
        <w:rPr>
          <w:b w:val="0"/>
          <w:bCs/>
          <w:color w:val="auto"/>
          <w:spacing w:val="10"/>
          <w:sz w:val="24"/>
          <w:highlight w:val="none"/>
        </w:rPr>
      </w:pPr>
      <w:r>
        <w:rPr>
          <w:b w:val="0"/>
          <w:bCs/>
          <w:color w:val="auto"/>
          <w:spacing w:val="10"/>
          <w:sz w:val="24"/>
          <w:highlight w:val="none"/>
        </w:rPr>
        <w:t>补缩</w:t>
      </w:r>
      <w:r>
        <w:rPr>
          <w:b w:val="0"/>
          <w:bCs/>
          <w:color w:val="auto"/>
          <w:kern w:val="0"/>
          <w:sz w:val="24"/>
          <w:highlight w:val="none"/>
        </w:rPr>
        <w:t>阶段工艺参数的设定与修改内容包括：</w:t>
      </w:r>
      <w:r>
        <w:rPr>
          <w:b w:val="0"/>
          <w:bCs/>
          <w:color w:val="auto"/>
          <w:spacing w:val="10"/>
          <w:sz w:val="24"/>
          <w:highlight w:val="none"/>
        </w:rPr>
        <w:t>熔炼电流、熔炼电压、稳弧电流、时间、补缩预留重量、熔末电极预留重量、冷却时间，等等；</w:t>
      </w:r>
    </w:p>
    <w:p w14:paraId="7F03459D">
      <w:pPr>
        <w:spacing w:line="500" w:lineRule="exact"/>
        <w:ind w:firstLine="520" w:firstLineChars="200"/>
        <w:rPr>
          <w:b w:val="0"/>
          <w:bCs/>
          <w:color w:val="auto"/>
          <w:spacing w:val="10"/>
          <w:sz w:val="24"/>
          <w:highlight w:val="none"/>
        </w:rPr>
      </w:pPr>
      <w:r>
        <w:rPr>
          <w:b w:val="0"/>
          <w:bCs/>
          <w:color w:val="auto"/>
          <w:spacing w:val="10"/>
          <w:sz w:val="24"/>
          <w:highlight w:val="none"/>
        </w:rPr>
        <w:t>此外还能对稳弧搅拌方向与稳弧电流换向时间进行设定与修改。</w:t>
      </w:r>
      <w:r>
        <w:rPr>
          <w:b w:val="0"/>
          <w:bCs/>
          <w:color w:val="auto"/>
          <w:kern w:val="0"/>
          <w:sz w:val="24"/>
          <w:highlight w:val="none"/>
        </w:rPr>
        <w:t>超出范围的数据应被计算机拒绝。</w:t>
      </w:r>
    </w:p>
    <w:p w14:paraId="7F03459E">
      <w:pPr>
        <w:numPr>
          <w:ilvl w:val="0"/>
          <w:numId w:val="11"/>
        </w:numPr>
        <w:spacing w:line="500" w:lineRule="exact"/>
        <w:rPr>
          <w:b w:val="0"/>
          <w:bCs/>
          <w:color w:val="auto"/>
          <w:kern w:val="0"/>
          <w:sz w:val="24"/>
          <w:highlight w:val="none"/>
        </w:rPr>
      </w:pPr>
      <w:r>
        <w:rPr>
          <w:b w:val="0"/>
          <w:bCs/>
          <w:color w:val="auto"/>
          <w:kern w:val="0"/>
          <w:sz w:val="24"/>
          <w:highlight w:val="none"/>
        </w:rPr>
        <w:t>所编辑的冶炼工艺能储存在硬盘上，当需要时可被调用。</w:t>
      </w:r>
    </w:p>
    <w:p w14:paraId="7F03459F">
      <w:pPr>
        <w:numPr>
          <w:ilvl w:val="0"/>
          <w:numId w:val="11"/>
        </w:numPr>
        <w:spacing w:line="480" w:lineRule="exact"/>
        <w:rPr>
          <w:b w:val="0"/>
          <w:bCs/>
          <w:color w:val="auto"/>
          <w:kern w:val="0"/>
          <w:sz w:val="24"/>
          <w:highlight w:val="none"/>
        </w:rPr>
      </w:pPr>
      <w:r>
        <w:rPr>
          <w:b w:val="0"/>
          <w:bCs/>
          <w:color w:val="auto"/>
          <w:kern w:val="0"/>
          <w:sz w:val="24"/>
          <w:highlight w:val="none"/>
        </w:rPr>
        <w:t>一旦开始进行冶炼，所有相关的工艺参数可在工艺画面上显示，显示的图形描述了工艺的进程，并显示所选参数的趋势。软件应能对实施熔炼电压、熔炼电流、稳弧电流、真空度、电极杆行程、油增压泵油温、冷却水进出水温度、电极重量等参数进行实时监控、存储与曲线实时描绘、刷新功能。</w:t>
      </w:r>
      <w:r>
        <w:rPr>
          <w:b w:val="0"/>
          <w:bCs/>
          <w:color w:val="auto"/>
          <w:kern w:val="0"/>
          <w:sz w:val="24"/>
          <w:highlight w:val="none"/>
          <w:u w:val="double"/>
        </w:rPr>
        <w:t>除上述信息外，控制系统建立的记录还应包括故障信息、非计划性事件等。</w:t>
      </w:r>
    </w:p>
    <w:p w14:paraId="7F0345A0">
      <w:pPr>
        <w:numPr>
          <w:ilvl w:val="0"/>
          <w:numId w:val="11"/>
        </w:numPr>
        <w:spacing w:line="480" w:lineRule="exact"/>
        <w:rPr>
          <w:b w:val="0"/>
          <w:bCs/>
          <w:color w:val="auto"/>
          <w:kern w:val="0"/>
          <w:sz w:val="24"/>
          <w:highlight w:val="none"/>
          <w:u w:val="double"/>
        </w:rPr>
      </w:pPr>
      <w:r>
        <w:rPr>
          <w:b w:val="0"/>
          <w:bCs/>
          <w:color w:val="auto"/>
          <w:kern w:val="0"/>
          <w:sz w:val="24"/>
          <w:highlight w:val="none"/>
          <w:u w:val="double"/>
        </w:rPr>
        <w:t>设备安装有无纸记录仪，对熔炼电压、熔炼电流、真空度、剩余电极重量等关键参数的实际值进行曲线描绘。一行的打印时间间隔是可选的，通常在稳定熔化期设置为5分钟，在开始和热封顶阶段减少到1分钟。打印机应能够与计算机软件的实时曲线描绘保持数据时间的同步，实现数据采集和储存。每个炉次的打印记录显示了锭号、工艺号等重要信息。实现与计算机数据采集的冗余记录。</w:t>
      </w:r>
    </w:p>
    <w:p w14:paraId="7F0345A1">
      <w:pPr>
        <w:numPr>
          <w:ilvl w:val="0"/>
          <w:numId w:val="11"/>
        </w:numPr>
        <w:spacing w:line="480" w:lineRule="exact"/>
        <w:rPr>
          <w:b w:val="0"/>
          <w:bCs/>
          <w:color w:val="auto"/>
          <w:kern w:val="0"/>
          <w:sz w:val="24"/>
          <w:highlight w:val="none"/>
        </w:rPr>
      </w:pPr>
      <w:r>
        <w:rPr>
          <w:b w:val="0"/>
          <w:bCs/>
          <w:color w:val="auto"/>
          <w:kern w:val="0"/>
          <w:sz w:val="24"/>
          <w:highlight w:val="none"/>
          <w:u w:val="double"/>
        </w:rPr>
        <w:t>控制计算机可通过以太网完成与其局域网内的其它计算机进行数据通讯（管理微机，主机）。</w:t>
      </w:r>
    </w:p>
    <w:p w14:paraId="7F0345A2">
      <w:pPr>
        <w:spacing w:line="480" w:lineRule="exact"/>
        <w:ind w:firstLine="520" w:firstLineChars="200"/>
        <w:rPr>
          <w:b w:val="0"/>
          <w:bCs/>
          <w:color w:val="auto"/>
          <w:spacing w:val="10"/>
          <w:sz w:val="24"/>
          <w:highlight w:val="none"/>
        </w:rPr>
      </w:pPr>
      <w:r>
        <w:rPr>
          <w:b w:val="0"/>
          <w:bCs/>
          <w:color w:val="auto"/>
          <w:spacing w:val="10"/>
          <w:sz w:val="24"/>
          <w:highlight w:val="none"/>
        </w:rPr>
        <w:t>上位机PC具有标准键盘、鼠标和大尺寸液晶显示器，PC的操作界面用于操作者和自动熔化控制系统之间信息的交流，应简洁，功能分区清晰。炉子的工艺过程，抽真空，冷却水，故障报告等都通过可视化屏幕显示，可使用鼠标键入实行命令。</w:t>
      </w:r>
    </w:p>
    <w:p w14:paraId="7F0345A3">
      <w:pPr>
        <w:spacing w:line="480" w:lineRule="exact"/>
        <w:ind w:firstLine="520" w:firstLineChars="200"/>
        <w:rPr>
          <w:b w:val="0"/>
          <w:bCs/>
          <w:color w:val="auto"/>
          <w:spacing w:val="10"/>
          <w:sz w:val="24"/>
          <w:highlight w:val="none"/>
        </w:rPr>
      </w:pP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2263"/>
        <w:gridCol w:w="5144"/>
      </w:tblGrid>
      <w:tr w14:paraId="7F03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954" w:type="dxa"/>
            <w:vAlign w:val="center"/>
          </w:tcPr>
          <w:p w14:paraId="7F0345A4">
            <w:pPr>
              <w:jc w:val="center"/>
              <w:rPr>
                <w:b w:val="0"/>
                <w:bCs/>
                <w:color w:val="auto"/>
                <w:spacing w:val="10"/>
                <w:sz w:val="24"/>
                <w:highlight w:val="none"/>
              </w:rPr>
            </w:pPr>
            <w:r>
              <w:rPr>
                <w:b w:val="0"/>
                <w:bCs/>
                <w:color w:val="auto"/>
                <w:spacing w:val="10"/>
                <w:sz w:val="24"/>
                <w:highlight w:val="none"/>
              </w:rPr>
              <w:t>技术要求</w:t>
            </w:r>
          </w:p>
        </w:tc>
        <w:tc>
          <w:tcPr>
            <w:tcW w:w="6487" w:type="dxa"/>
            <w:gridSpan w:val="2"/>
            <w:vAlign w:val="center"/>
          </w:tcPr>
          <w:p w14:paraId="7F0345A5">
            <w:pPr>
              <w:jc w:val="center"/>
              <w:rPr>
                <w:b w:val="0"/>
                <w:bCs/>
                <w:color w:val="auto"/>
                <w:spacing w:val="10"/>
                <w:sz w:val="24"/>
                <w:highlight w:val="none"/>
              </w:rPr>
            </w:pPr>
            <w:r>
              <w:rPr>
                <w:b w:val="0"/>
                <w:bCs/>
                <w:color w:val="auto"/>
                <w:spacing w:val="10"/>
                <w:sz w:val="24"/>
                <w:highlight w:val="none"/>
              </w:rPr>
              <w:t>配置要求</w:t>
            </w:r>
          </w:p>
        </w:tc>
      </w:tr>
      <w:tr w14:paraId="7F03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restart"/>
            <w:vAlign w:val="center"/>
          </w:tcPr>
          <w:p w14:paraId="7F0345A7">
            <w:pPr>
              <w:pStyle w:val="334"/>
              <w:ind w:firstLine="0"/>
              <w:jc w:val="center"/>
              <w:rPr>
                <w:rFonts w:ascii="Times New Roman" w:hAnsi="Times New Roman"/>
                <w:b w:val="0"/>
                <w:bCs/>
                <w:color w:val="auto"/>
                <w:spacing w:val="10"/>
                <w:sz w:val="24"/>
                <w:highlight w:val="none"/>
              </w:rPr>
            </w:pPr>
            <w:r>
              <w:rPr>
                <w:rFonts w:ascii="Times New Roman" w:hAnsi="Times New Roman"/>
                <w:b w:val="0"/>
                <w:bCs/>
                <w:color w:val="auto"/>
                <w:spacing w:val="10"/>
                <w:sz w:val="24"/>
                <w:highlight w:val="none"/>
              </w:rPr>
              <w:t>/</w:t>
            </w:r>
          </w:p>
        </w:tc>
        <w:tc>
          <w:tcPr>
            <w:tcW w:w="1982" w:type="dxa"/>
            <w:vAlign w:val="center"/>
          </w:tcPr>
          <w:p w14:paraId="7F0345A8">
            <w:pPr>
              <w:widowControl/>
              <w:jc w:val="center"/>
              <w:rPr>
                <w:b w:val="0"/>
                <w:bCs/>
                <w:color w:val="auto"/>
                <w:kern w:val="0"/>
                <w:sz w:val="22"/>
                <w:highlight w:val="none"/>
              </w:rPr>
            </w:pPr>
            <w:r>
              <w:rPr>
                <w:b w:val="0"/>
                <w:bCs/>
                <w:color w:val="auto"/>
                <w:kern w:val="0"/>
                <w:sz w:val="22"/>
                <w:highlight w:val="none"/>
              </w:rPr>
              <w:t>程控器PLC</w:t>
            </w:r>
          </w:p>
        </w:tc>
        <w:tc>
          <w:tcPr>
            <w:tcW w:w="4505" w:type="dxa"/>
            <w:vAlign w:val="center"/>
          </w:tcPr>
          <w:p w14:paraId="7F0345A9">
            <w:pPr>
              <w:widowControl/>
              <w:jc w:val="center"/>
              <w:rPr>
                <w:b w:val="0"/>
                <w:bCs/>
                <w:color w:val="auto"/>
                <w:kern w:val="0"/>
                <w:sz w:val="24"/>
                <w:highlight w:val="none"/>
              </w:rPr>
            </w:pPr>
            <w:r>
              <w:rPr>
                <w:rFonts w:hint="eastAsia"/>
                <w:b w:val="0"/>
                <w:bCs/>
                <w:color w:val="auto"/>
                <w:kern w:val="0"/>
                <w:sz w:val="24"/>
                <w:highlight w:val="none"/>
              </w:rPr>
              <w:t>西门子等同级别品牌</w:t>
            </w:r>
          </w:p>
        </w:tc>
      </w:tr>
      <w:tr w14:paraId="7F03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AB">
            <w:pPr>
              <w:pStyle w:val="334"/>
              <w:ind w:firstLine="0"/>
              <w:jc w:val="center"/>
              <w:rPr>
                <w:rFonts w:ascii="Times New Roman" w:hAnsi="Times New Roman"/>
                <w:b w:val="0"/>
                <w:bCs/>
                <w:color w:val="auto"/>
                <w:spacing w:val="10"/>
                <w:sz w:val="24"/>
                <w:highlight w:val="none"/>
              </w:rPr>
            </w:pPr>
          </w:p>
        </w:tc>
        <w:tc>
          <w:tcPr>
            <w:tcW w:w="1982" w:type="dxa"/>
            <w:vAlign w:val="center"/>
          </w:tcPr>
          <w:p w14:paraId="7F0345AC">
            <w:pPr>
              <w:widowControl/>
              <w:jc w:val="center"/>
              <w:rPr>
                <w:b w:val="0"/>
                <w:bCs/>
                <w:color w:val="auto"/>
                <w:kern w:val="0"/>
                <w:sz w:val="22"/>
                <w:highlight w:val="none"/>
              </w:rPr>
            </w:pPr>
            <w:r>
              <w:rPr>
                <w:b w:val="0"/>
                <w:bCs/>
                <w:color w:val="auto"/>
                <w:kern w:val="0"/>
                <w:sz w:val="22"/>
                <w:highlight w:val="none"/>
              </w:rPr>
              <w:t>中间继电器</w:t>
            </w:r>
          </w:p>
        </w:tc>
        <w:tc>
          <w:tcPr>
            <w:tcW w:w="4505" w:type="dxa"/>
            <w:vAlign w:val="center"/>
          </w:tcPr>
          <w:p w14:paraId="7F0345AD">
            <w:pPr>
              <w:widowControl/>
              <w:jc w:val="center"/>
              <w:rPr>
                <w:b w:val="0"/>
                <w:bCs/>
                <w:color w:val="auto"/>
                <w:kern w:val="0"/>
                <w:sz w:val="24"/>
                <w:highlight w:val="none"/>
              </w:rPr>
            </w:pPr>
            <w:r>
              <w:rPr>
                <w:b w:val="0"/>
                <w:bCs/>
                <w:color w:val="auto"/>
                <w:kern w:val="0"/>
                <w:sz w:val="24"/>
                <w:highlight w:val="none"/>
              </w:rPr>
              <w:t>进口</w:t>
            </w:r>
            <w:r>
              <w:rPr>
                <w:rFonts w:hint="eastAsia"/>
                <w:b w:val="0"/>
                <w:bCs/>
                <w:color w:val="auto"/>
                <w:sz w:val="24"/>
                <w:highlight w:val="none"/>
              </w:rPr>
              <w:t>（施耐德、ABB、西门子）</w:t>
            </w:r>
          </w:p>
        </w:tc>
      </w:tr>
      <w:tr w14:paraId="7F03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AF">
            <w:pPr>
              <w:pStyle w:val="334"/>
              <w:ind w:firstLine="0"/>
              <w:jc w:val="center"/>
              <w:rPr>
                <w:rFonts w:ascii="Times New Roman" w:hAnsi="Times New Roman"/>
                <w:b w:val="0"/>
                <w:bCs/>
                <w:color w:val="auto"/>
                <w:spacing w:val="10"/>
                <w:sz w:val="24"/>
                <w:highlight w:val="none"/>
              </w:rPr>
            </w:pPr>
          </w:p>
        </w:tc>
        <w:tc>
          <w:tcPr>
            <w:tcW w:w="1982" w:type="dxa"/>
            <w:vAlign w:val="center"/>
          </w:tcPr>
          <w:p w14:paraId="7F0345B0">
            <w:pPr>
              <w:widowControl/>
              <w:jc w:val="center"/>
              <w:rPr>
                <w:b w:val="0"/>
                <w:bCs/>
                <w:color w:val="auto"/>
                <w:kern w:val="0"/>
                <w:sz w:val="22"/>
                <w:highlight w:val="none"/>
              </w:rPr>
            </w:pPr>
            <w:r>
              <w:rPr>
                <w:b w:val="0"/>
                <w:bCs/>
                <w:color w:val="auto"/>
                <w:kern w:val="0"/>
                <w:sz w:val="22"/>
                <w:highlight w:val="none"/>
              </w:rPr>
              <w:t>伺服电机及控制器</w:t>
            </w:r>
          </w:p>
        </w:tc>
        <w:tc>
          <w:tcPr>
            <w:tcW w:w="4505" w:type="dxa"/>
            <w:vAlign w:val="center"/>
          </w:tcPr>
          <w:p w14:paraId="7F0345B1">
            <w:pPr>
              <w:widowControl/>
              <w:jc w:val="center"/>
              <w:rPr>
                <w:b w:val="0"/>
                <w:bCs/>
                <w:color w:val="auto"/>
                <w:kern w:val="0"/>
                <w:sz w:val="24"/>
                <w:highlight w:val="none"/>
              </w:rPr>
            </w:pPr>
            <w:r>
              <w:rPr>
                <w:b w:val="0"/>
                <w:bCs/>
                <w:color w:val="auto"/>
                <w:kern w:val="0"/>
                <w:sz w:val="24"/>
                <w:highlight w:val="none"/>
              </w:rPr>
              <w:t>进口</w:t>
            </w:r>
            <w:r>
              <w:rPr>
                <w:rFonts w:hint="eastAsia"/>
                <w:b w:val="0"/>
                <w:bCs/>
                <w:color w:val="auto"/>
                <w:kern w:val="0"/>
                <w:sz w:val="24"/>
                <w:highlight w:val="none"/>
              </w:rPr>
              <w:t>或国内一线</w:t>
            </w:r>
          </w:p>
        </w:tc>
      </w:tr>
      <w:tr w14:paraId="7F03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B3">
            <w:pPr>
              <w:pStyle w:val="334"/>
              <w:ind w:firstLine="0"/>
              <w:jc w:val="center"/>
              <w:rPr>
                <w:rFonts w:ascii="Times New Roman" w:hAnsi="Times New Roman"/>
                <w:b w:val="0"/>
                <w:bCs/>
                <w:color w:val="auto"/>
                <w:spacing w:val="10"/>
                <w:sz w:val="24"/>
                <w:highlight w:val="none"/>
              </w:rPr>
            </w:pPr>
          </w:p>
        </w:tc>
        <w:tc>
          <w:tcPr>
            <w:tcW w:w="1982" w:type="dxa"/>
            <w:vAlign w:val="center"/>
          </w:tcPr>
          <w:p w14:paraId="7F0345B4">
            <w:pPr>
              <w:widowControl/>
              <w:jc w:val="center"/>
              <w:rPr>
                <w:b w:val="0"/>
                <w:bCs/>
                <w:color w:val="auto"/>
                <w:kern w:val="0"/>
                <w:sz w:val="24"/>
                <w:highlight w:val="none"/>
              </w:rPr>
            </w:pPr>
            <w:r>
              <w:rPr>
                <w:b w:val="0"/>
                <w:bCs/>
                <w:color w:val="auto"/>
                <w:kern w:val="0"/>
                <w:sz w:val="24"/>
                <w:highlight w:val="none"/>
              </w:rPr>
              <w:t>计算机</w:t>
            </w:r>
          </w:p>
        </w:tc>
        <w:tc>
          <w:tcPr>
            <w:tcW w:w="4505" w:type="dxa"/>
            <w:vAlign w:val="center"/>
          </w:tcPr>
          <w:p w14:paraId="7F0345B5">
            <w:pPr>
              <w:widowControl/>
              <w:jc w:val="center"/>
              <w:rPr>
                <w:b w:val="0"/>
                <w:bCs/>
                <w:color w:val="auto"/>
                <w:kern w:val="0"/>
                <w:sz w:val="24"/>
                <w:highlight w:val="none"/>
              </w:rPr>
            </w:pPr>
            <w:r>
              <w:rPr>
                <w:b w:val="0"/>
                <w:bCs/>
                <w:color w:val="auto"/>
                <w:kern w:val="0"/>
                <w:sz w:val="24"/>
                <w:highlight w:val="none"/>
              </w:rPr>
              <w:t>国产或进口</w:t>
            </w:r>
          </w:p>
        </w:tc>
      </w:tr>
      <w:tr w14:paraId="7F03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B7">
            <w:pPr>
              <w:pStyle w:val="334"/>
              <w:ind w:firstLine="0"/>
              <w:jc w:val="center"/>
              <w:rPr>
                <w:rFonts w:ascii="Times New Roman" w:hAnsi="Times New Roman"/>
                <w:b w:val="0"/>
                <w:bCs/>
                <w:color w:val="auto"/>
                <w:spacing w:val="10"/>
                <w:sz w:val="24"/>
                <w:highlight w:val="none"/>
              </w:rPr>
            </w:pPr>
          </w:p>
        </w:tc>
        <w:tc>
          <w:tcPr>
            <w:tcW w:w="1982" w:type="dxa"/>
            <w:vAlign w:val="center"/>
          </w:tcPr>
          <w:p w14:paraId="7F0345B8">
            <w:pPr>
              <w:widowControl/>
              <w:jc w:val="center"/>
              <w:rPr>
                <w:b w:val="0"/>
                <w:bCs/>
                <w:color w:val="auto"/>
                <w:kern w:val="0"/>
                <w:sz w:val="24"/>
                <w:highlight w:val="none"/>
              </w:rPr>
            </w:pPr>
            <w:r>
              <w:rPr>
                <w:b w:val="0"/>
                <w:bCs/>
                <w:color w:val="auto"/>
                <w:kern w:val="0"/>
                <w:sz w:val="24"/>
                <w:highlight w:val="none"/>
              </w:rPr>
              <w:t>UPS</w:t>
            </w:r>
          </w:p>
        </w:tc>
        <w:tc>
          <w:tcPr>
            <w:tcW w:w="4505" w:type="dxa"/>
            <w:vAlign w:val="center"/>
          </w:tcPr>
          <w:p w14:paraId="7F0345B9">
            <w:pPr>
              <w:widowControl/>
              <w:jc w:val="center"/>
              <w:rPr>
                <w:b w:val="0"/>
                <w:bCs/>
                <w:color w:val="auto"/>
                <w:kern w:val="0"/>
                <w:sz w:val="24"/>
                <w:highlight w:val="none"/>
              </w:rPr>
            </w:pPr>
            <w:r>
              <w:rPr>
                <w:b w:val="0"/>
                <w:bCs/>
                <w:color w:val="auto"/>
                <w:kern w:val="0"/>
                <w:sz w:val="24"/>
                <w:highlight w:val="none"/>
              </w:rPr>
              <w:t>国产或进口</w:t>
            </w:r>
          </w:p>
        </w:tc>
      </w:tr>
    </w:tbl>
    <w:p w14:paraId="7F0345BB">
      <w:pPr>
        <w:spacing w:line="500" w:lineRule="exact"/>
        <w:rPr>
          <w:b w:val="0"/>
          <w:bCs/>
          <w:color w:val="auto"/>
          <w:spacing w:val="10"/>
          <w:sz w:val="24"/>
          <w:highlight w:val="none"/>
        </w:rPr>
      </w:pPr>
      <w:r>
        <w:rPr>
          <w:b w:val="0"/>
          <w:bCs/>
          <w:color w:val="auto"/>
          <w:spacing w:val="10"/>
          <w:sz w:val="24"/>
          <w:highlight w:val="none"/>
        </w:rPr>
        <w:t>6.10 压缩空气供气系统与各系统之间连接的管路、强弱电线路、密封部件</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2263"/>
        <w:gridCol w:w="5144"/>
      </w:tblGrid>
      <w:tr w14:paraId="7F03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Align w:val="center"/>
          </w:tcPr>
          <w:p w14:paraId="7F0345BC">
            <w:pPr>
              <w:jc w:val="center"/>
              <w:rPr>
                <w:b w:val="0"/>
                <w:bCs/>
                <w:color w:val="auto"/>
                <w:spacing w:val="10"/>
                <w:sz w:val="24"/>
                <w:highlight w:val="none"/>
              </w:rPr>
            </w:pPr>
            <w:r>
              <w:rPr>
                <w:b w:val="0"/>
                <w:bCs/>
                <w:color w:val="auto"/>
                <w:spacing w:val="10"/>
                <w:sz w:val="24"/>
                <w:highlight w:val="none"/>
              </w:rPr>
              <w:t>技术要求</w:t>
            </w:r>
          </w:p>
        </w:tc>
        <w:tc>
          <w:tcPr>
            <w:tcW w:w="6487" w:type="dxa"/>
            <w:gridSpan w:val="2"/>
            <w:vAlign w:val="center"/>
          </w:tcPr>
          <w:p w14:paraId="7F0345BD">
            <w:pPr>
              <w:jc w:val="center"/>
              <w:rPr>
                <w:b w:val="0"/>
                <w:bCs/>
                <w:color w:val="auto"/>
                <w:spacing w:val="10"/>
                <w:sz w:val="24"/>
                <w:highlight w:val="none"/>
              </w:rPr>
            </w:pPr>
            <w:r>
              <w:rPr>
                <w:b w:val="0"/>
                <w:bCs/>
                <w:color w:val="auto"/>
                <w:spacing w:val="10"/>
                <w:sz w:val="24"/>
                <w:highlight w:val="none"/>
              </w:rPr>
              <w:t>配置要求</w:t>
            </w:r>
          </w:p>
        </w:tc>
      </w:tr>
      <w:tr w14:paraId="7F03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restart"/>
            <w:vAlign w:val="center"/>
          </w:tcPr>
          <w:p w14:paraId="7F0345BF">
            <w:pPr>
              <w:pStyle w:val="334"/>
              <w:ind w:firstLine="0"/>
              <w:jc w:val="center"/>
              <w:rPr>
                <w:rFonts w:ascii="Times New Roman" w:hAnsi="Times New Roman"/>
                <w:b w:val="0"/>
                <w:bCs/>
                <w:color w:val="auto"/>
                <w:spacing w:val="10"/>
                <w:sz w:val="24"/>
                <w:highlight w:val="none"/>
              </w:rPr>
            </w:pPr>
            <w:r>
              <w:rPr>
                <w:rFonts w:ascii="Times New Roman" w:hAnsi="Times New Roman"/>
                <w:b w:val="0"/>
                <w:bCs/>
                <w:color w:val="auto"/>
                <w:spacing w:val="10"/>
                <w:sz w:val="24"/>
                <w:highlight w:val="none"/>
              </w:rPr>
              <w:t>/</w:t>
            </w:r>
          </w:p>
        </w:tc>
        <w:tc>
          <w:tcPr>
            <w:tcW w:w="1982" w:type="dxa"/>
            <w:vAlign w:val="center"/>
          </w:tcPr>
          <w:p w14:paraId="7F0345C0">
            <w:pPr>
              <w:widowControl/>
              <w:jc w:val="center"/>
              <w:rPr>
                <w:b w:val="0"/>
                <w:bCs/>
                <w:color w:val="auto"/>
                <w:kern w:val="0"/>
                <w:sz w:val="22"/>
                <w:highlight w:val="none"/>
              </w:rPr>
            </w:pPr>
            <w:r>
              <w:rPr>
                <w:b w:val="0"/>
                <w:bCs/>
                <w:color w:val="auto"/>
                <w:kern w:val="0"/>
                <w:sz w:val="22"/>
                <w:highlight w:val="none"/>
              </w:rPr>
              <w:t>电线、电缆</w:t>
            </w:r>
          </w:p>
        </w:tc>
        <w:tc>
          <w:tcPr>
            <w:tcW w:w="4505" w:type="dxa"/>
            <w:vMerge w:val="restart"/>
            <w:vAlign w:val="center"/>
          </w:tcPr>
          <w:p w14:paraId="7F0345C1">
            <w:pPr>
              <w:widowControl/>
              <w:jc w:val="center"/>
              <w:rPr>
                <w:b w:val="0"/>
                <w:bCs/>
                <w:color w:val="auto"/>
                <w:kern w:val="0"/>
                <w:sz w:val="24"/>
                <w:highlight w:val="none"/>
              </w:rPr>
            </w:pPr>
            <w:r>
              <w:rPr>
                <w:b w:val="0"/>
                <w:bCs/>
                <w:color w:val="auto"/>
                <w:kern w:val="0"/>
                <w:sz w:val="24"/>
                <w:highlight w:val="none"/>
              </w:rPr>
              <w:t>国产</w:t>
            </w:r>
            <w:r>
              <w:rPr>
                <w:rFonts w:hint="eastAsia"/>
                <w:b w:val="0"/>
                <w:bCs/>
                <w:color w:val="auto"/>
                <w:kern w:val="0"/>
                <w:sz w:val="24"/>
                <w:highlight w:val="none"/>
              </w:rPr>
              <w:t>一线品牌</w:t>
            </w:r>
          </w:p>
        </w:tc>
      </w:tr>
      <w:tr w14:paraId="7F03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C3">
            <w:pPr>
              <w:pStyle w:val="334"/>
              <w:ind w:firstLine="0"/>
              <w:jc w:val="center"/>
              <w:rPr>
                <w:rFonts w:ascii="Times New Roman" w:hAnsi="Times New Roman"/>
                <w:b w:val="0"/>
                <w:bCs/>
                <w:color w:val="auto"/>
                <w:spacing w:val="10"/>
                <w:sz w:val="24"/>
                <w:highlight w:val="none"/>
              </w:rPr>
            </w:pPr>
          </w:p>
        </w:tc>
        <w:tc>
          <w:tcPr>
            <w:tcW w:w="1982" w:type="dxa"/>
            <w:vAlign w:val="center"/>
          </w:tcPr>
          <w:p w14:paraId="7F0345C4">
            <w:pPr>
              <w:widowControl/>
              <w:jc w:val="center"/>
              <w:rPr>
                <w:b w:val="0"/>
                <w:bCs/>
                <w:color w:val="auto"/>
                <w:kern w:val="0"/>
                <w:sz w:val="22"/>
                <w:highlight w:val="none"/>
              </w:rPr>
            </w:pPr>
            <w:r>
              <w:rPr>
                <w:b w:val="0"/>
                <w:bCs/>
                <w:color w:val="auto"/>
                <w:kern w:val="0"/>
                <w:sz w:val="22"/>
                <w:highlight w:val="none"/>
              </w:rPr>
              <w:t>压缩空气供气组件</w:t>
            </w:r>
          </w:p>
        </w:tc>
        <w:tc>
          <w:tcPr>
            <w:tcW w:w="4505" w:type="dxa"/>
            <w:vMerge w:val="continue"/>
            <w:vAlign w:val="center"/>
          </w:tcPr>
          <w:p w14:paraId="7F0345C5">
            <w:pPr>
              <w:widowControl/>
              <w:jc w:val="center"/>
              <w:rPr>
                <w:b w:val="0"/>
                <w:bCs/>
                <w:color w:val="auto"/>
                <w:kern w:val="0"/>
                <w:sz w:val="24"/>
                <w:highlight w:val="none"/>
              </w:rPr>
            </w:pPr>
          </w:p>
        </w:tc>
      </w:tr>
      <w:tr w14:paraId="7F03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C7">
            <w:pPr>
              <w:pStyle w:val="334"/>
              <w:ind w:firstLine="0"/>
              <w:jc w:val="center"/>
              <w:rPr>
                <w:rFonts w:ascii="Times New Roman" w:hAnsi="Times New Roman"/>
                <w:b w:val="0"/>
                <w:bCs/>
                <w:color w:val="auto"/>
                <w:spacing w:val="10"/>
                <w:sz w:val="24"/>
                <w:highlight w:val="none"/>
              </w:rPr>
            </w:pPr>
          </w:p>
        </w:tc>
        <w:tc>
          <w:tcPr>
            <w:tcW w:w="1982" w:type="dxa"/>
            <w:vAlign w:val="center"/>
          </w:tcPr>
          <w:p w14:paraId="7F0345C8">
            <w:pPr>
              <w:widowControl/>
              <w:jc w:val="center"/>
              <w:rPr>
                <w:b w:val="0"/>
                <w:bCs/>
                <w:color w:val="auto"/>
                <w:kern w:val="0"/>
                <w:sz w:val="22"/>
                <w:highlight w:val="none"/>
              </w:rPr>
            </w:pPr>
            <w:r>
              <w:rPr>
                <w:b w:val="0"/>
                <w:bCs/>
                <w:color w:val="auto"/>
                <w:kern w:val="0"/>
                <w:sz w:val="22"/>
                <w:highlight w:val="none"/>
              </w:rPr>
              <w:t>空气压缩机</w:t>
            </w:r>
          </w:p>
        </w:tc>
        <w:tc>
          <w:tcPr>
            <w:tcW w:w="4505" w:type="dxa"/>
            <w:vMerge w:val="continue"/>
            <w:vAlign w:val="center"/>
          </w:tcPr>
          <w:p w14:paraId="7F0345C9">
            <w:pPr>
              <w:widowControl/>
              <w:jc w:val="center"/>
              <w:rPr>
                <w:b w:val="0"/>
                <w:bCs/>
                <w:color w:val="auto"/>
                <w:kern w:val="0"/>
                <w:sz w:val="24"/>
                <w:highlight w:val="none"/>
              </w:rPr>
            </w:pPr>
          </w:p>
        </w:tc>
      </w:tr>
      <w:tr w14:paraId="7F03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CB">
            <w:pPr>
              <w:pStyle w:val="334"/>
              <w:ind w:firstLine="0"/>
              <w:jc w:val="center"/>
              <w:rPr>
                <w:rFonts w:ascii="Times New Roman" w:hAnsi="Times New Roman"/>
                <w:b w:val="0"/>
                <w:bCs/>
                <w:color w:val="auto"/>
                <w:spacing w:val="10"/>
                <w:sz w:val="24"/>
                <w:highlight w:val="none"/>
              </w:rPr>
            </w:pPr>
          </w:p>
        </w:tc>
        <w:tc>
          <w:tcPr>
            <w:tcW w:w="1982" w:type="dxa"/>
            <w:vAlign w:val="center"/>
          </w:tcPr>
          <w:p w14:paraId="7F0345CC">
            <w:pPr>
              <w:widowControl/>
              <w:jc w:val="center"/>
              <w:rPr>
                <w:b w:val="0"/>
                <w:bCs/>
                <w:color w:val="auto"/>
                <w:kern w:val="0"/>
                <w:sz w:val="24"/>
                <w:highlight w:val="none"/>
              </w:rPr>
            </w:pPr>
            <w:r>
              <w:rPr>
                <w:b w:val="0"/>
                <w:bCs/>
                <w:color w:val="auto"/>
                <w:kern w:val="0"/>
                <w:sz w:val="24"/>
                <w:highlight w:val="none"/>
              </w:rPr>
              <w:t>密封圈</w:t>
            </w:r>
          </w:p>
        </w:tc>
        <w:tc>
          <w:tcPr>
            <w:tcW w:w="4505" w:type="dxa"/>
            <w:vMerge w:val="continue"/>
            <w:vAlign w:val="center"/>
          </w:tcPr>
          <w:p w14:paraId="7F0345CD">
            <w:pPr>
              <w:widowControl/>
              <w:jc w:val="center"/>
              <w:rPr>
                <w:b w:val="0"/>
                <w:bCs/>
                <w:color w:val="auto"/>
                <w:kern w:val="0"/>
                <w:sz w:val="24"/>
                <w:highlight w:val="none"/>
              </w:rPr>
            </w:pPr>
          </w:p>
        </w:tc>
      </w:tr>
      <w:tr w14:paraId="7F03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4" w:type="dxa"/>
            <w:vMerge w:val="continue"/>
            <w:vAlign w:val="center"/>
          </w:tcPr>
          <w:p w14:paraId="7F0345CF">
            <w:pPr>
              <w:pStyle w:val="334"/>
              <w:ind w:firstLine="0"/>
              <w:jc w:val="center"/>
              <w:rPr>
                <w:rFonts w:ascii="Times New Roman" w:hAnsi="Times New Roman"/>
                <w:b w:val="0"/>
                <w:bCs/>
                <w:color w:val="auto"/>
                <w:spacing w:val="10"/>
                <w:sz w:val="24"/>
                <w:highlight w:val="none"/>
              </w:rPr>
            </w:pPr>
          </w:p>
        </w:tc>
        <w:tc>
          <w:tcPr>
            <w:tcW w:w="1982" w:type="dxa"/>
            <w:vAlign w:val="center"/>
          </w:tcPr>
          <w:p w14:paraId="7F0345D0">
            <w:pPr>
              <w:widowControl/>
              <w:jc w:val="center"/>
              <w:rPr>
                <w:b w:val="0"/>
                <w:bCs/>
                <w:color w:val="auto"/>
                <w:kern w:val="0"/>
                <w:sz w:val="24"/>
                <w:highlight w:val="none"/>
              </w:rPr>
            </w:pPr>
            <w:r>
              <w:rPr>
                <w:b w:val="0"/>
                <w:bCs/>
                <w:color w:val="auto"/>
                <w:kern w:val="0"/>
                <w:sz w:val="24"/>
                <w:highlight w:val="none"/>
              </w:rPr>
              <w:t>镜  片</w:t>
            </w:r>
          </w:p>
        </w:tc>
        <w:tc>
          <w:tcPr>
            <w:tcW w:w="4505" w:type="dxa"/>
            <w:vMerge w:val="continue"/>
            <w:vAlign w:val="center"/>
          </w:tcPr>
          <w:p w14:paraId="7F0345D1">
            <w:pPr>
              <w:widowControl/>
              <w:jc w:val="center"/>
              <w:rPr>
                <w:b w:val="0"/>
                <w:bCs/>
                <w:color w:val="auto"/>
                <w:kern w:val="0"/>
                <w:sz w:val="24"/>
                <w:highlight w:val="none"/>
              </w:rPr>
            </w:pPr>
          </w:p>
        </w:tc>
      </w:tr>
      <w:tr w14:paraId="7F03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954" w:type="dxa"/>
            <w:vMerge w:val="continue"/>
            <w:vAlign w:val="center"/>
          </w:tcPr>
          <w:p w14:paraId="7F0345D3">
            <w:pPr>
              <w:pStyle w:val="334"/>
              <w:ind w:firstLine="0"/>
              <w:jc w:val="center"/>
              <w:rPr>
                <w:rFonts w:ascii="Times New Roman" w:hAnsi="Times New Roman"/>
                <w:b w:val="0"/>
                <w:bCs/>
                <w:color w:val="auto"/>
                <w:spacing w:val="10"/>
                <w:sz w:val="24"/>
                <w:highlight w:val="none"/>
              </w:rPr>
            </w:pPr>
          </w:p>
        </w:tc>
        <w:tc>
          <w:tcPr>
            <w:tcW w:w="1982" w:type="dxa"/>
            <w:vAlign w:val="center"/>
          </w:tcPr>
          <w:p w14:paraId="7F0345D4">
            <w:pPr>
              <w:widowControl/>
              <w:jc w:val="center"/>
              <w:rPr>
                <w:b w:val="0"/>
                <w:bCs/>
                <w:color w:val="auto"/>
                <w:kern w:val="0"/>
                <w:sz w:val="24"/>
                <w:highlight w:val="none"/>
              </w:rPr>
            </w:pPr>
            <w:r>
              <w:rPr>
                <w:b w:val="0"/>
                <w:bCs/>
                <w:color w:val="auto"/>
                <w:kern w:val="0"/>
                <w:sz w:val="24"/>
                <w:highlight w:val="none"/>
              </w:rPr>
              <w:t>供水管道</w:t>
            </w:r>
          </w:p>
        </w:tc>
        <w:tc>
          <w:tcPr>
            <w:tcW w:w="4505" w:type="dxa"/>
            <w:vMerge w:val="continue"/>
            <w:vAlign w:val="center"/>
          </w:tcPr>
          <w:p w14:paraId="7F0345D5">
            <w:pPr>
              <w:widowControl/>
              <w:jc w:val="center"/>
              <w:rPr>
                <w:b w:val="0"/>
                <w:bCs/>
                <w:color w:val="auto"/>
                <w:kern w:val="0"/>
                <w:sz w:val="24"/>
                <w:highlight w:val="none"/>
              </w:rPr>
            </w:pPr>
          </w:p>
        </w:tc>
      </w:tr>
    </w:tbl>
    <w:p w14:paraId="7F0345D7">
      <w:pPr>
        <w:spacing w:line="500" w:lineRule="exact"/>
        <w:rPr>
          <w:b w:val="0"/>
          <w:bCs/>
          <w:color w:val="auto"/>
          <w:spacing w:val="10"/>
          <w:sz w:val="24"/>
          <w:highlight w:val="none"/>
        </w:rPr>
      </w:pPr>
      <w:r>
        <w:rPr>
          <w:b w:val="0"/>
          <w:bCs/>
          <w:color w:val="auto"/>
          <w:spacing w:val="10"/>
          <w:sz w:val="24"/>
          <w:highlight w:val="none"/>
        </w:rPr>
        <w:t>7、设计、制造、安装、调试、验收</w:t>
      </w:r>
    </w:p>
    <w:p w14:paraId="7F0345D8">
      <w:pPr>
        <w:spacing w:line="500" w:lineRule="exact"/>
        <w:rPr>
          <w:b w:val="0"/>
          <w:bCs/>
          <w:color w:val="auto"/>
          <w:spacing w:val="10"/>
          <w:sz w:val="24"/>
          <w:highlight w:val="none"/>
        </w:rPr>
      </w:pPr>
      <w:r>
        <w:rPr>
          <w:rFonts w:hint="eastAsia"/>
          <w:b w:val="0"/>
          <w:bCs/>
          <w:color w:val="auto"/>
          <w:spacing w:val="10"/>
          <w:sz w:val="24"/>
          <w:highlight w:val="none"/>
        </w:rPr>
        <w:t>7.1 项目运行标准化要求</w:t>
      </w:r>
    </w:p>
    <w:p w14:paraId="7F0345D9">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1000kg、300kg</w:t>
      </w:r>
      <w:r>
        <w:rPr>
          <w:b w:val="0"/>
          <w:bCs/>
          <w:color w:val="auto"/>
          <w:spacing w:val="10"/>
          <w:sz w:val="24"/>
          <w:highlight w:val="none"/>
        </w:rPr>
        <w:t>真空自耗电弧炉成套设备的设计、制造、安装、调试、验收按照以上技术要求及有关公制标准，以及适用的技术规范、标准和法律进行。</w:t>
      </w:r>
    </w:p>
    <w:p w14:paraId="7F0345DA">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设计与制造严格执行相关国家及行业标准，并符合安全、工业卫生、防火等法规要求。如焊接件按焊接件通用技术标准（JB/T5000.3-1998）执行，铸钢件按铸钢件通用技术标准（JB/T5000.6-1998）执行，电气系统按照国家电气设备安全技术规范（GB/T19529-2004）执行。</w:t>
      </w:r>
    </w:p>
    <w:p w14:paraId="7F0345DB">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2）当企标、行标、部标、国标不一致时取其严格的为标准执行。</w:t>
      </w:r>
    </w:p>
    <w:p w14:paraId="7F0345DC">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3）引进部件须符合相应的国家标准或公认的国际标准。</w:t>
      </w:r>
    </w:p>
    <w:p w14:paraId="7F0345DD">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4）机组的所有设备、装置应符合国家安全、工业卫生、防火等有关规定。</w:t>
      </w:r>
    </w:p>
    <w:p w14:paraId="7F0345DE">
      <w:pPr>
        <w:spacing w:line="500" w:lineRule="exact"/>
        <w:rPr>
          <w:b w:val="0"/>
          <w:bCs/>
          <w:color w:val="auto"/>
          <w:spacing w:val="10"/>
          <w:sz w:val="24"/>
          <w:highlight w:val="none"/>
        </w:rPr>
      </w:pPr>
      <w:r>
        <w:rPr>
          <w:rFonts w:hint="eastAsia"/>
          <w:b w:val="0"/>
          <w:bCs/>
          <w:color w:val="auto"/>
          <w:spacing w:val="10"/>
          <w:sz w:val="24"/>
          <w:highlight w:val="none"/>
        </w:rPr>
        <w:t>7.2 技术资料的提供</w:t>
      </w:r>
    </w:p>
    <w:p w14:paraId="7F0345DF">
      <w:pPr>
        <w:spacing w:line="500" w:lineRule="exact"/>
        <w:ind w:firstLine="480" w:firstLineChars="200"/>
        <w:rPr>
          <w:b w:val="0"/>
          <w:bCs/>
          <w:color w:val="auto"/>
          <w:kern w:val="0"/>
          <w:sz w:val="24"/>
          <w:highlight w:val="none"/>
          <w:u w:val="double"/>
        </w:rPr>
      </w:pPr>
      <w:r>
        <w:rPr>
          <w:b w:val="0"/>
          <w:bCs/>
          <w:color w:val="auto"/>
          <w:kern w:val="0"/>
          <w:sz w:val="24"/>
          <w:highlight w:val="none"/>
        </w:rPr>
        <w:t>真空自耗电弧炉成套设备中标单位进行具体细节设计过程中，</w:t>
      </w:r>
      <w:r>
        <w:rPr>
          <w:rFonts w:hint="eastAsia"/>
          <w:b w:val="0"/>
          <w:bCs/>
          <w:color w:val="auto"/>
          <w:kern w:val="0"/>
          <w:sz w:val="24"/>
          <w:highlight w:val="none"/>
        </w:rPr>
        <w:t>甲方</w:t>
      </w:r>
      <w:r>
        <w:rPr>
          <w:b w:val="0"/>
          <w:bCs/>
          <w:color w:val="auto"/>
          <w:kern w:val="0"/>
          <w:sz w:val="24"/>
          <w:highlight w:val="none"/>
        </w:rPr>
        <w:t>全程参与并依据具体工艺情况向中标单位提供设计参考；设计完成部件制造之前，</w:t>
      </w:r>
      <w:r>
        <w:rPr>
          <w:rFonts w:hint="eastAsia"/>
          <w:b w:val="0"/>
          <w:bCs/>
          <w:color w:val="auto"/>
          <w:kern w:val="0"/>
          <w:sz w:val="24"/>
          <w:highlight w:val="none"/>
        </w:rPr>
        <w:t>甲方</w:t>
      </w:r>
      <w:r>
        <w:rPr>
          <w:b w:val="0"/>
          <w:bCs/>
          <w:color w:val="auto"/>
          <w:kern w:val="0"/>
          <w:sz w:val="24"/>
          <w:highlight w:val="none"/>
        </w:rPr>
        <w:t>需对所有图纸进行核准；制造、安装过程中，</w:t>
      </w:r>
      <w:r>
        <w:rPr>
          <w:rFonts w:hint="eastAsia"/>
          <w:b w:val="0"/>
          <w:bCs/>
          <w:color w:val="auto"/>
          <w:kern w:val="0"/>
          <w:sz w:val="24"/>
          <w:highlight w:val="none"/>
        </w:rPr>
        <w:t>甲方</w:t>
      </w:r>
      <w:r>
        <w:rPr>
          <w:b w:val="0"/>
          <w:bCs/>
          <w:color w:val="auto"/>
          <w:kern w:val="0"/>
          <w:sz w:val="24"/>
          <w:highlight w:val="none"/>
        </w:rPr>
        <w:t>有权对整个过程进行全程监控（查阅与产品相关的各种技术文件、资料、图纸等）。</w:t>
      </w:r>
    </w:p>
    <w:p w14:paraId="7F0345E0">
      <w:pPr>
        <w:spacing w:line="500" w:lineRule="exact"/>
        <w:ind w:firstLine="520" w:firstLineChars="200"/>
        <w:rPr>
          <w:b w:val="0"/>
          <w:bCs/>
          <w:color w:val="auto"/>
          <w:spacing w:val="10"/>
          <w:sz w:val="24"/>
          <w:highlight w:val="none"/>
        </w:rPr>
      </w:pPr>
      <w:r>
        <w:rPr>
          <w:b w:val="0"/>
          <w:bCs/>
          <w:color w:val="auto"/>
          <w:spacing w:val="10"/>
          <w:sz w:val="24"/>
          <w:highlight w:val="none"/>
        </w:rPr>
        <w:t>产品设计、安装、调试、验收过程中，项目中标单位须逐步向</w:t>
      </w:r>
      <w:r>
        <w:rPr>
          <w:rFonts w:hint="eastAsia"/>
          <w:b w:val="0"/>
          <w:bCs/>
          <w:color w:val="auto"/>
          <w:spacing w:val="10"/>
          <w:sz w:val="24"/>
          <w:highlight w:val="none"/>
        </w:rPr>
        <w:t>甲方</w:t>
      </w:r>
      <w:r>
        <w:rPr>
          <w:b w:val="0"/>
          <w:bCs/>
          <w:color w:val="auto"/>
          <w:spacing w:val="10"/>
          <w:sz w:val="24"/>
          <w:highlight w:val="none"/>
        </w:rPr>
        <w:t>提交真空自耗电弧炉成套设备的完整</w:t>
      </w:r>
      <w:r>
        <w:rPr>
          <w:rFonts w:hint="eastAsia"/>
          <w:b w:val="0"/>
          <w:bCs/>
          <w:color w:val="auto"/>
          <w:spacing w:val="10"/>
          <w:sz w:val="24"/>
          <w:highlight w:val="none"/>
        </w:rPr>
        <w:t>基础条件图（含接地要求）</w:t>
      </w:r>
      <w:r>
        <w:rPr>
          <w:b w:val="0"/>
          <w:bCs/>
          <w:color w:val="auto"/>
          <w:spacing w:val="10"/>
          <w:sz w:val="24"/>
          <w:highlight w:val="none"/>
        </w:rPr>
        <w:t>、完整机械部件图纸，完整液压、真空、水循环、压缩空气供气系统图纸，完整电控系统图纸、电控元器件质量证明文件及使用说明，液压元器件、气动元器件质量证明文件及使用说明，大中型构件材质证明书、成套设备使用说明书、成套设备合格证明，以及包含技术规格、品牌、供货商的易损易耗件清单等。</w:t>
      </w:r>
    </w:p>
    <w:p w14:paraId="7F0345E1">
      <w:pPr>
        <w:spacing w:line="500" w:lineRule="exact"/>
        <w:ind w:firstLine="520" w:firstLineChars="200"/>
        <w:rPr>
          <w:b w:val="0"/>
          <w:bCs/>
          <w:color w:val="auto"/>
          <w:spacing w:val="10"/>
          <w:sz w:val="24"/>
          <w:highlight w:val="none"/>
        </w:rPr>
      </w:pPr>
      <w:r>
        <w:rPr>
          <w:b w:val="0"/>
          <w:bCs/>
          <w:color w:val="auto"/>
          <w:spacing w:val="10"/>
          <w:sz w:val="24"/>
          <w:highlight w:val="none"/>
        </w:rPr>
        <w:t>项目中标单位</w:t>
      </w:r>
      <w:r>
        <w:rPr>
          <w:rFonts w:hint="eastAsia"/>
          <w:b w:val="0"/>
          <w:bCs/>
          <w:color w:val="auto"/>
          <w:spacing w:val="10"/>
          <w:sz w:val="24"/>
          <w:highlight w:val="none"/>
        </w:rPr>
        <w:t>向甲方提供的技术文件（包括图纸、资料等文件）均是原件，提供3套纸质文件和1套对应的电子文件。包括：设备全套部件图（3套），用于订货或制造的易损件和备件零件图（3套）；电气控制原理图、接线端子图等（3套）、计算机软件备份、人机界面和PLC程序备份；设备操作和维护手册（3套）；外购元（部）件应提供合格证、使用说明书等原件（1套）。</w:t>
      </w:r>
    </w:p>
    <w:p w14:paraId="7F0345E2">
      <w:pPr>
        <w:spacing w:line="500" w:lineRule="exact"/>
        <w:rPr>
          <w:b w:val="0"/>
          <w:bCs/>
          <w:color w:val="auto"/>
          <w:spacing w:val="10"/>
          <w:sz w:val="24"/>
          <w:highlight w:val="none"/>
        </w:rPr>
      </w:pPr>
      <w:r>
        <w:rPr>
          <w:rFonts w:hint="eastAsia"/>
          <w:b w:val="0"/>
          <w:bCs/>
          <w:color w:val="auto"/>
          <w:spacing w:val="10"/>
          <w:sz w:val="24"/>
          <w:highlight w:val="none"/>
        </w:rPr>
        <w:t>7.3 项目的制造、交付、安装、调试</w:t>
      </w:r>
    </w:p>
    <w:p w14:paraId="7F0345E3">
      <w:pPr>
        <w:spacing w:line="500" w:lineRule="exact"/>
        <w:ind w:firstLine="520" w:firstLineChars="200"/>
        <w:rPr>
          <w:b w:val="0"/>
          <w:bCs/>
          <w:color w:val="auto"/>
          <w:spacing w:val="10"/>
          <w:sz w:val="24"/>
          <w:highlight w:val="none"/>
        </w:rPr>
      </w:pPr>
      <w:r>
        <w:rPr>
          <w:b w:val="0"/>
          <w:bCs/>
          <w:color w:val="auto"/>
          <w:spacing w:val="10"/>
          <w:sz w:val="24"/>
          <w:highlight w:val="none"/>
        </w:rPr>
        <w:t>项目中标单位须向</w:t>
      </w:r>
      <w:r>
        <w:rPr>
          <w:rFonts w:hint="eastAsia"/>
          <w:b w:val="0"/>
          <w:bCs/>
          <w:color w:val="auto"/>
          <w:spacing w:val="10"/>
          <w:sz w:val="24"/>
          <w:highlight w:val="none"/>
        </w:rPr>
        <w:t>甲方</w:t>
      </w:r>
      <w:r>
        <w:rPr>
          <w:b w:val="0"/>
          <w:bCs/>
          <w:color w:val="auto"/>
          <w:spacing w:val="10"/>
          <w:sz w:val="24"/>
          <w:highlight w:val="none"/>
        </w:rPr>
        <w:t>提交详尽完整的交付计划，以确保所有设备系统接口在发货前将进行仔细测试。所有电器组件应预先完成安装（如中央控制台、控制柜、炉前控制站），这样在安装现场只需将主要的终端互连即可。在装运之前应对硬件之间的连接，PLC的功能及计算机的软件进行检测以确保其正确性。</w:t>
      </w:r>
    </w:p>
    <w:p w14:paraId="7F0345E4">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w:t>
      </w:r>
      <w:r>
        <w:rPr>
          <w:b w:val="0"/>
          <w:bCs/>
          <w:color w:val="auto"/>
          <w:spacing w:val="10"/>
          <w:sz w:val="24"/>
          <w:highlight w:val="none"/>
        </w:rPr>
        <w:t>项目中标单位</w:t>
      </w:r>
      <w:r>
        <w:rPr>
          <w:rFonts w:hint="eastAsia"/>
          <w:b w:val="0"/>
          <w:bCs/>
          <w:color w:val="auto"/>
          <w:spacing w:val="10"/>
          <w:sz w:val="24"/>
          <w:highlight w:val="none"/>
        </w:rPr>
        <w:t>负责设备的就位、安装与调试，并将派出有经验的技术及安装人员到甲方现场负责设备安装并参加调试。</w:t>
      </w:r>
      <w:r>
        <w:rPr>
          <w:rFonts w:hint="eastAsia"/>
          <w:b w:val="0"/>
          <w:bCs/>
          <w:color w:val="auto"/>
          <w:sz w:val="24"/>
          <w:highlight w:val="none"/>
        </w:rPr>
        <w:t>乙方在安装调试期间提供润滑点、润滑周期、润滑方式、润滑脂或油用量及介质类型与要求，保证自动真空自耗电弧炉各设备润滑点的润滑。</w:t>
      </w:r>
    </w:p>
    <w:p w14:paraId="7F0345E5">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（2）</w:t>
      </w:r>
      <w:r>
        <w:rPr>
          <w:b w:val="0"/>
          <w:bCs/>
          <w:color w:val="auto"/>
          <w:spacing w:val="10"/>
          <w:sz w:val="24"/>
          <w:highlight w:val="none"/>
        </w:rPr>
        <w:t>在货物到达</w:t>
      </w:r>
      <w:r>
        <w:rPr>
          <w:rFonts w:hint="eastAsia"/>
          <w:b w:val="0"/>
          <w:bCs/>
          <w:color w:val="auto"/>
          <w:spacing w:val="10"/>
          <w:sz w:val="24"/>
          <w:highlight w:val="none"/>
        </w:rPr>
        <w:t>甲方现场</w:t>
      </w:r>
      <w:r>
        <w:rPr>
          <w:b w:val="0"/>
          <w:bCs/>
          <w:color w:val="auto"/>
          <w:spacing w:val="10"/>
          <w:sz w:val="24"/>
          <w:highlight w:val="none"/>
        </w:rPr>
        <w:t>后，项目中标单位按</w:t>
      </w:r>
      <w:r>
        <w:rPr>
          <w:rFonts w:hint="eastAsia"/>
          <w:b w:val="0"/>
          <w:bCs/>
          <w:color w:val="auto"/>
          <w:spacing w:val="10"/>
          <w:sz w:val="24"/>
          <w:highlight w:val="none"/>
        </w:rPr>
        <w:t>甲方</w:t>
      </w:r>
      <w:r>
        <w:rPr>
          <w:b w:val="0"/>
          <w:bCs/>
          <w:color w:val="auto"/>
          <w:spacing w:val="10"/>
          <w:sz w:val="24"/>
          <w:highlight w:val="none"/>
        </w:rPr>
        <w:t>通知时间派技术人员到</w:t>
      </w:r>
      <w:r>
        <w:rPr>
          <w:rFonts w:hint="eastAsia"/>
          <w:b w:val="0"/>
          <w:bCs/>
          <w:color w:val="auto"/>
          <w:spacing w:val="10"/>
          <w:sz w:val="24"/>
          <w:highlight w:val="none"/>
        </w:rPr>
        <w:t>甲方</w:t>
      </w:r>
      <w:r>
        <w:rPr>
          <w:b w:val="0"/>
          <w:bCs/>
          <w:color w:val="auto"/>
          <w:spacing w:val="10"/>
          <w:sz w:val="24"/>
          <w:highlight w:val="none"/>
        </w:rPr>
        <w:t>的</w:t>
      </w:r>
      <w:r>
        <w:rPr>
          <w:rFonts w:hint="eastAsia"/>
          <w:b w:val="0"/>
          <w:bCs/>
          <w:color w:val="auto"/>
          <w:spacing w:val="10"/>
          <w:sz w:val="24"/>
          <w:highlight w:val="none"/>
        </w:rPr>
        <w:t>生产</w:t>
      </w:r>
      <w:r>
        <w:rPr>
          <w:b w:val="0"/>
          <w:bCs/>
          <w:color w:val="auto"/>
          <w:spacing w:val="10"/>
          <w:sz w:val="24"/>
          <w:highlight w:val="none"/>
        </w:rPr>
        <w:t>现场，在</w:t>
      </w:r>
      <w:r>
        <w:rPr>
          <w:rFonts w:hint="eastAsia"/>
          <w:b w:val="0"/>
          <w:bCs/>
          <w:color w:val="auto"/>
          <w:spacing w:val="10"/>
          <w:sz w:val="24"/>
          <w:highlight w:val="none"/>
        </w:rPr>
        <w:t>双方人员</w:t>
      </w:r>
      <w:r>
        <w:rPr>
          <w:b w:val="0"/>
          <w:bCs/>
          <w:color w:val="auto"/>
          <w:spacing w:val="10"/>
          <w:sz w:val="24"/>
          <w:highlight w:val="none"/>
        </w:rPr>
        <w:t>在场的情况下开箱清点货物，组织安装、调试，直至设备正常运行</w:t>
      </w:r>
      <w:r>
        <w:rPr>
          <w:rFonts w:hint="eastAsia"/>
          <w:b w:val="0"/>
          <w:bCs/>
          <w:color w:val="auto"/>
          <w:spacing w:val="10"/>
          <w:sz w:val="24"/>
          <w:highlight w:val="none"/>
        </w:rPr>
        <w:t>经试生产并按合同规定进行考核验收测试合格</w:t>
      </w:r>
      <w:r>
        <w:rPr>
          <w:b w:val="0"/>
          <w:bCs/>
          <w:color w:val="auto"/>
          <w:spacing w:val="10"/>
          <w:sz w:val="24"/>
          <w:highlight w:val="none"/>
        </w:rPr>
        <w:t>。</w:t>
      </w:r>
    </w:p>
    <w:p w14:paraId="7F0345E6">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（3）在安装过程中，甲方派专人进行质量检验和监督。</w:t>
      </w:r>
    </w:p>
    <w:p w14:paraId="7F0345E7">
      <w:pPr>
        <w:spacing w:line="500" w:lineRule="exact"/>
        <w:ind w:firstLine="520" w:firstLineChars="200"/>
        <w:rPr>
          <w:b w:val="0"/>
          <w:bCs/>
          <w:color w:val="auto"/>
          <w:spacing w:val="10"/>
          <w:sz w:val="24"/>
          <w:highlight w:val="none"/>
          <w:u w:val="double"/>
        </w:rPr>
      </w:pPr>
      <w:r>
        <w:rPr>
          <w:b w:val="0"/>
          <w:bCs/>
          <w:color w:val="auto"/>
          <w:spacing w:val="10"/>
          <w:sz w:val="24"/>
          <w:highlight w:val="none"/>
        </w:rPr>
        <w:t>各仪器仪表由项目</w:t>
      </w:r>
      <w:r>
        <w:rPr>
          <w:rFonts w:hint="eastAsia"/>
          <w:b w:val="0"/>
          <w:bCs/>
          <w:color w:val="auto"/>
          <w:spacing w:val="10"/>
          <w:sz w:val="24"/>
          <w:highlight w:val="none"/>
        </w:rPr>
        <w:t>甲方</w:t>
      </w:r>
      <w:r>
        <w:rPr>
          <w:b w:val="0"/>
          <w:bCs/>
          <w:color w:val="auto"/>
          <w:spacing w:val="10"/>
          <w:sz w:val="24"/>
          <w:highlight w:val="none"/>
        </w:rPr>
        <w:t>进行计量检定，</w:t>
      </w:r>
      <w:r>
        <w:rPr>
          <w:rFonts w:hint="eastAsia"/>
          <w:b w:val="0"/>
          <w:bCs/>
          <w:color w:val="auto"/>
          <w:spacing w:val="10"/>
          <w:sz w:val="24"/>
          <w:highlight w:val="none"/>
        </w:rPr>
        <w:t>当出现计量不符合要求时，由</w:t>
      </w:r>
      <w:r>
        <w:rPr>
          <w:b w:val="0"/>
          <w:bCs/>
          <w:color w:val="auto"/>
          <w:spacing w:val="10"/>
          <w:sz w:val="24"/>
          <w:highlight w:val="none"/>
        </w:rPr>
        <w:t>中标单位</w:t>
      </w:r>
      <w:r>
        <w:rPr>
          <w:rFonts w:hint="eastAsia"/>
          <w:b w:val="0"/>
          <w:bCs/>
          <w:color w:val="auto"/>
          <w:spacing w:val="10"/>
          <w:sz w:val="24"/>
          <w:highlight w:val="none"/>
        </w:rPr>
        <w:t>负责更换仪器仪表，甲方对更换后仪器仪表再次计量检定的费用，由中标单位承担</w:t>
      </w:r>
      <w:r>
        <w:rPr>
          <w:b w:val="0"/>
          <w:bCs/>
          <w:color w:val="auto"/>
          <w:spacing w:val="10"/>
          <w:sz w:val="24"/>
          <w:highlight w:val="none"/>
        </w:rPr>
        <w:t>。</w:t>
      </w:r>
    </w:p>
    <w:p w14:paraId="7F0345E8">
      <w:pPr>
        <w:spacing w:line="500" w:lineRule="exact"/>
        <w:rPr>
          <w:b w:val="0"/>
          <w:bCs/>
          <w:color w:val="auto"/>
          <w:spacing w:val="10"/>
          <w:sz w:val="24"/>
          <w:highlight w:val="none"/>
        </w:rPr>
      </w:pPr>
      <w:r>
        <w:rPr>
          <w:rFonts w:hint="eastAsia"/>
          <w:b w:val="0"/>
          <w:bCs/>
          <w:color w:val="auto"/>
          <w:spacing w:val="10"/>
          <w:sz w:val="24"/>
          <w:highlight w:val="none"/>
        </w:rPr>
        <w:t>7.4 项目的验收</w:t>
      </w:r>
    </w:p>
    <w:p w14:paraId="7F0345E9">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验收分为预验收和终验收，验收标准按本协议及其相关标准，终验收按甲方提供的试件进行验收。设备制造过程中，甲方可以随时到</w:t>
      </w:r>
      <w:r>
        <w:rPr>
          <w:b w:val="0"/>
          <w:bCs/>
          <w:color w:val="auto"/>
          <w:spacing w:val="10"/>
          <w:sz w:val="24"/>
          <w:highlight w:val="none"/>
        </w:rPr>
        <w:t>项目中标单位</w:t>
      </w:r>
      <w:r>
        <w:rPr>
          <w:rFonts w:hint="eastAsia"/>
          <w:b w:val="0"/>
          <w:bCs/>
          <w:color w:val="auto"/>
          <w:spacing w:val="10"/>
          <w:sz w:val="24"/>
          <w:highlight w:val="none"/>
        </w:rPr>
        <w:t>及其供方加工场地，对设备制造过程进行监督。</w:t>
      </w:r>
    </w:p>
    <w:p w14:paraId="7F0345EA">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（1）预验收：当设备在</w:t>
      </w:r>
      <w:r>
        <w:rPr>
          <w:b w:val="0"/>
          <w:bCs/>
          <w:color w:val="auto"/>
          <w:spacing w:val="10"/>
          <w:sz w:val="24"/>
          <w:highlight w:val="none"/>
        </w:rPr>
        <w:t>项目中标单位</w:t>
      </w:r>
      <w:r>
        <w:rPr>
          <w:rFonts w:hint="eastAsia"/>
          <w:b w:val="0"/>
          <w:bCs/>
          <w:color w:val="auto"/>
          <w:spacing w:val="10"/>
          <w:sz w:val="24"/>
          <w:highlight w:val="none"/>
        </w:rPr>
        <w:t>现场生产装配完毕后通知甲方，甲方及时派代表到现场对设备进行预验收。</w:t>
      </w:r>
    </w:p>
    <w:p w14:paraId="7F0345EB">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（2）终验收：当设备到达甲方现场，甲方通知</w:t>
      </w:r>
      <w:r>
        <w:rPr>
          <w:b w:val="0"/>
          <w:bCs/>
          <w:color w:val="auto"/>
          <w:spacing w:val="10"/>
          <w:sz w:val="24"/>
          <w:highlight w:val="none"/>
        </w:rPr>
        <w:t>项目中标单位</w:t>
      </w:r>
      <w:r>
        <w:rPr>
          <w:rFonts w:hint="eastAsia"/>
          <w:b w:val="0"/>
          <w:bCs/>
          <w:color w:val="auto"/>
          <w:spacing w:val="10"/>
          <w:sz w:val="24"/>
          <w:highlight w:val="none"/>
        </w:rPr>
        <w:t>。</w:t>
      </w:r>
      <w:r>
        <w:rPr>
          <w:b w:val="0"/>
          <w:bCs/>
          <w:color w:val="auto"/>
          <w:spacing w:val="10"/>
          <w:sz w:val="24"/>
          <w:highlight w:val="none"/>
        </w:rPr>
        <w:t>项目中标单位</w:t>
      </w:r>
      <w:r>
        <w:rPr>
          <w:rFonts w:hint="eastAsia"/>
          <w:b w:val="0"/>
          <w:bCs/>
          <w:color w:val="auto"/>
          <w:spacing w:val="10"/>
          <w:sz w:val="24"/>
          <w:highlight w:val="none"/>
        </w:rPr>
        <w:t>负责就位安装调试，甲方配合，并由甲方进行终验收。</w:t>
      </w:r>
    </w:p>
    <w:p w14:paraId="7F0345EC">
      <w:pPr>
        <w:spacing w:line="500" w:lineRule="exact"/>
        <w:ind w:firstLine="520" w:firstLineChars="200"/>
        <w:rPr>
          <w:b w:val="0"/>
          <w:bCs/>
          <w:color w:val="auto"/>
          <w:spacing w:val="10"/>
          <w:sz w:val="24"/>
          <w:highlight w:val="none"/>
          <w:u w:val="double"/>
        </w:rPr>
      </w:pPr>
      <w:r>
        <w:rPr>
          <w:rFonts w:hint="eastAsia"/>
          <w:b w:val="0"/>
          <w:bCs/>
          <w:color w:val="auto"/>
          <w:spacing w:val="10"/>
          <w:sz w:val="24"/>
          <w:highlight w:val="none"/>
        </w:rPr>
        <w:t>在甲方工厂安装调试完毕，甲方对设备进行各个性能指标测试和考核试验，终验收合格后，双方签署终验收单。</w:t>
      </w:r>
      <w:r>
        <w:rPr>
          <w:rFonts w:hint="eastAsia"/>
          <w:b w:val="0"/>
          <w:bCs/>
          <w:color w:val="auto"/>
          <w:spacing w:val="10"/>
          <w:sz w:val="24"/>
          <w:highlight w:val="none"/>
          <w:u w:val="double"/>
        </w:rPr>
        <w:t>其中熔速控制由项目中标单位提供控制软件，甲方提供工艺、原料等，双方共同研发。</w:t>
      </w:r>
    </w:p>
    <w:p w14:paraId="7F0345ED">
      <w:pPr>
        <w:spacing w:line="500" w:lineRule="exact"/>
        <w:rPr>
          <w:b w:val="0"/>
          <w:bCs/>
          <w:color w:val="auto"/>
          <w:spacing w:val="10"/>
          <w:sz w:val="24"/>
          <w:highlight w:val="none"/>
        </w:rPr>
      </w:pPr>
      <w:r>
        <w:rPr>
          <w:rFonts w:hint="eastAsia"/>
          <w:b w:val="0"/>
          <w:bCs/>
          <w:color w:val="auto"/>
          <w:spacing w:val="10"/>
          <w:sz w:val="24"/>
          <w:highlight w:val="none"/>
        </w:rPr>
        <w:t>7.5 技术培训及技术服务</w:t>
      </w:r>
    </w:p>
    <w:p w14:paraId="7F0345EE">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项目中标单位应向甲方提供安装指导、冷试车、热试车以及相关的培训。</w:t>
      </w:r>
    </w:p>
    <w:p w14:paraId="7F0345EF">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1）项目中标单位的技术服务范围包括从机组的设计至验收、技术培训及试生产技术服务，并长期进行设备售后服务，包括协助甲方对土建施工图设计的全面技术交底和设计评审及向土建施工单位进行技术交底、必要时派人员到土建施工现场进行技术指导；负责设备安装调试直至机组运行正常后的所有技术指标符合性测试与验证。</w:t>
      </w:r>
    </w:p>
    <w:p w14:paraId="7F0345F0">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（2）项目中标单位负责对甲方技术人员、操作人员进行现场免费培训，培训内容包括基础知识理论、设备操作、设备维护及设备故障排除和维修办法等。</w:t>
      </w:r>
    </w:p>
    <w:p w14:paraId="7F0345F1">
      <w:pPr>
        <w:spacing w:line="500" w:lineRule="exact"/>
        <w:rPr>
          <w:b w:val="0"/>
          <w:bCs/>
          <w:color w:val="auto"/>
          <w:spacing w:val="10"/>
          <w:sz w:val="24"/>
          <w:highlight w:val="none"/>
        </w:rPr>
      </w:pPr>
      <w:r>
        <w:rPr>
          <w:b w:val="0"/>
          <w:bCs/>
          <w:color w:val="auto"/>
          <w:spacing w:val="10"/>
          <w:sz w:val="24"/>
          <w:highlight w:val="none"/>
        </w:rPr>
        <w:t>8、质量保证与售后服务</w:t>
      </w:r>
    </w:p>
    <w:p w14:paraId="7F0345F2">
      <w:pPr>
        <w:spacing w:line="500" w:lineRule="exact"/>
        <w:ind w:firstLine="520" w:firstLineChars="200"/>
        <w:rPr>
          <w:b w:val="0"/>
          <w:bCs/>
          <w:color w:val="auto"/>
          <w:spacing w:val="10"/>
          <w:sz w:val="24"/>
          <w:highlight w:val="none"/>
        </w:rPr>
      </w:pPr>
      <w:r>
        <w:rPr>
          <w:b w:val="0"/>
          <w:bCs/>
          <w:color w:val="auto"/>
          <w:spacing w:val="10"/>
          <w:sz w:val="24"/>
          <w:highlight w:val="none"/>
        </w:rPr>
        <w:t>项目中标单位</w:t>
      </w:r>
      <w:r>
        <w:rPr>
          <w:rFonts w:hint="eastAsia"/>
          <w:b w:val="0"/>
          <w:bCs/>
          <w:color w:val="auto"/>
          <w:spacing w:val="10"/>
          <w:sz w:val="24"/>
          <w:highlight w:val="none"/>
        </w:rPr>
        <w:t>设备从设计、制造、安装、调试至交付验收均按照质量和环境管理体系程序执行，并且承担全部责任，在全过程中充分听取甲方意见，接受甲方监督。</w:t>
      </w:r>
    </w:p>
    <w:p w14:paraId="7F0345F3">
      <w:pPr>
        <w:spacing w:line="500" w:lineRule="exact"/>
        <w:ind w:firstLine="520" w:firstLineChars="200"/>
        <w:rPr>
          <w:b w:val="0"/>
          <w:bCs/>
          <w:color w:val="auto"/>
          <w:spacing w:val="10"/>
          <w:sz w:val="24"/>
          <w:highlight w:val="none"/>
        </w:rPr>
      </w:pPr>
      <w:r>
        <w:rPr>
          <w:b w:val="0"/>
          <w:bCs/>
          <w:color w:val="auto"/>
          <w:spacing w:val="10"/>
          <w:sz w:val="24"/>
          <w:highlight w:val="none"/>
        </w:rPr>
        <w:t>项目中标单位</w:t>
      </w:r>
      <w:r>
        <w:rPr>
          <w:rFonts w:hint="eastAsia"/>
          <w:b w:val="0"/>
          <w:bCs/>
          <w:color w:val="auto"/>
          <w:spacing w:val="10"/>
          <w:sz w:val="24"/>
          <w:highlight w:val="none"/>
        </w:rPr>
        <w:t>保证在设备制造过程中所采用的是合格的材料和先进的制造工艺，并在各个方面符合合同规定的质量、规格和性能的要求。</w:t>
      </w:r>
    </w:p>
    <w:p w14:paraId="7F0345F4">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自验收调试合格书签署第二日起算质保期。在规定的质量保证期内，在甲方正常使用条件下，</w:t>
      </w:r>
      <w:r>
        <w:rPr>
          <w:b w:val="0"/>
          <w:bCs/>
          <w:color w:val="auto"/>
          <w:spacing w:val="10"/>
          <w:sz w:val="24"/>
          <w:highlight w:val="none"/>
        </w:rPr>
        <w:t>项目中标单位</w:t>
      </w:r>
      <w:r>
        <w:rPr>
          <w:rFonts w:hint="eastAsia"/>
          <w:b w:val="0"/>
          <w:bCs/>
          <w:color w:val="auto"/>
          <w:spacing w:val="10"/>
          <w:sz w:val="24"/>
          <w:highlight w:val="none"/>
        </w:rPr>
        <w:t>应对由于设计、工艺、制造、安装及材料的缺陷而造成的任何缺陷或故障负责。出现上述情况，</w:t>
      </w:r>
      <w:r>
        <w:rPr>
          <w:b w:val="0"/>
          <w:bCs/>
          <w:color w:val="auto"/>
          <w:spacing w:val="10"/>
          <w:sz w:val="24"/>
          <w:highlight w:val="none"/>
        </w:rPr>
        <w:t>项目中标单位</w:t>
      </w:r>
      <w:r>
        <w:rPr>
          <w:rFonts w:hint="eastAsia"/>
          <w:b w:val="0"/>
          <w:bCs/>
          <w:color w:val="auto"/>
          <w:spacing w:val="10"/>
          <w:sz w:val="24"/>
          <w:highlight w:val="none"/>
        </w:rPr>
        <w:t>应该8小时内给予响应并与48小时内到达现场，免费负责修理和更换故障零部件、对造成的损失甲方有索赔的权利。</w:t>
      </w:r>
    </w:p>
    <w:p w14:paraId="7F0345F5">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因</w:t>
      </w:r>
      <w:r>
        <w:rPr>
          <w:b w:val="0"/>
          <w:bCs/>
          <w:color w:val="auto"/>
          <w:spacing w:val="10"/>
          <w:sz w:val="24"/>
          <w:highlight w:val="none"/>
        </w:rPr>
        <w:t>项目中标单位</w:t>
      </w:r>
      <w:r>
        <w:rPr>
          <w:rFonts w:hint="eastAsia"/>
          <w:b w:val="0"/>
          <w:bCs/>
          <w:color w:val="auto"/>
          <w:spacing w:val="10"/>
          <w:sz w:val="24"/>
          <w:highlight w:val="none"/>
        </w:rPr>
        <w:t>设计、制造不合理造成设备现场无法安装、无法使用等情况，责任由</w:t>
      </w:r>
      <w:r>
        <w:rPr>
          <w:b w:val="0"/>
          <w:bCs/>
          <w:color w:val="auto"/>
          <w:spacing w:val="10"/>
          <w:sz w:val="24"/>
          <w:highlight w:val="none"/>
        </w:rPr>
        <w:t>项目中标单位</w:t>
      </w:r>
      <w:r>
        <w:rPr>
          <w:rFonts w:hint="eastAsia"/>
          <w:b w:val="0"/>
          <w:bCs/>
          <w:color w:val="auto"/>
          <w:spacing w:val="10"/>
          <w:sz w:val="24"/>
          <w:highlight w:val="none"/>
        </w:rPr>
        <w:t>负责，由此发生的费用由乙方支付。</w:t>
      </w:r>
    </w:p>
    <w:p w14:paraId="7F0345F6">
      <w:pPr>
        <w:spacing w:line="500" w:lineRule="exact"/>
        <w:ind w:firstLine="520" w:firstLineChars="200"/>
        <w:rPr>
          <w:b w:val="0"/>
          <w:bCs/>
          <w:color w:val="auto"/>
          <w:spacing w:val="10"/>
          <w:sz w:val="24"/>
          <w:highlight w:val="none"/>
        </w:rPr>
      </w:pPr>
      <w:r>
        <w:rPr>
          <w:b w:val="0"/>
          <w:bCs/>
          <w:color w:val="auto"/>
          <w:spacing w:val="10"/>
          <w:sz w:val="24"/>
          <w:highlight w:val="none"/>
        </w:rPr>
        <w:t>自真空自耗电弧炉成套设备验收交付完成之日起，大型部件（设备框架、电极杆组件与滚珠丝杠、炉头、水套、真空管道、水循环管路、）质保期为3年</w:t>
      </w:r>
      <w:r>
        <w:rPr>
          <w:rFonts w:hint="eastAsia"/>
          <w:b w:val="0"/>
          <w:bCs/>
          <w:color w:val="auto"/>
          <w:spacing w:val="10"/>
          <w:sz w:val="24"/>
          <w:highlight w:val="none"/>
        </w:rPr>
        <w:t>；</w:t>
      </w:r>
      <w:r>
        <w:rPr>
          <w:b w:val="0"/>
          <w:bCs/>
          <w:color w:val="auto"/>
          <w:spacing w:val="10"/>
          <w:sz w:val="24"/>
          <w:highlight w:val="none"/>
        </w:rPr>
        <w:t>主要零部件（稳弧线圈</w:t>
      </w:r>
      <w:r>
        <w:rPr>
          <w:rFonts w:hint="eastAsia"/>
          <w:b w:val="0"/>
          <w:bCs/>
          <w:color w:val="auto"/>
          <w:spacing w:val="10"/>
          <w:sz w:val="24"/>
          <w:highlight w:val="none"/>
        </w:rPr>
        <w:t>、</w:t>
      </w:r>
      <w:r>
        <w:rPr>
          <w:b w:val="0"/>
          <w:bCs/>
          <w:color w:val="auto"/>
          <w:spacing w:val="10"/>
          <w:sz w:val="24"/>
          <w:highlight w:val="none"/>
        </w:rPr>
        <w:t>电源、真空泵阀、水泵阀、电机等）</w:t>
      </w:r>
      <w:r>
        <w:rPr>
          <w:rFonts w:hint="eastAsia"/>
          <w:b w:val="0"/>
          <w:bCs/>
          <w:color w:val="auto"/>
          <w:spacing w:val="10"/>
          <w:sz w:val="24"/>
          <w:highlight w:val="none"/>
        </w:rPr>
        <w:t>、</w:t>
      </w:r>
      <w:r>
        <w:rPr>
          <w:b w:val="0"/>
          <w:bCs/>
          <w:color w:val="auto"/>
          <w:spacing w:val="10"/>
          <w:sz w:val="24"/>
          <w:highlight w:val="none"/>
        </w:rPr>
        <w:t>主要电控元器件</w:t>
      </w:r>
      <w:r>
        <w:rPr>
          <w:rFonts w:hint="eastAsia"/>
          <w:b w:val="0"/>
          <w:bCs/>
          <w:color w:val="auto"/>
          <w:spacing w:val="10"/>
          <w:sz w:val="24"/>
          <w:highlight w:val="none"/>
        </w:rPr>
        <w:t>，</w:t>
      </w:r>
      <w:r>
        <w:rPr>
          <w:b w:val="0"/>
          <w:bCs/>
          <w:color w:val="auto"/>
          <w:spacing w:val="10"/>
          <w:sz w:val="24"/>
          <w:highlight w:val="none"/>
        </w:rPr>
        <w:t>其他机械、液压、气动等零部件质保期为</w:t>
      </w:r>
      <w:r>
        <w:rPr>
          <w:rFonts w:hint="eastAsia"/>
          <w:b w:val="0"/>
          <w:bCs/>
          <w:color w:val="auto"/>
          <w:spacing w:val="10"/>
          <w:sz w:val="24"/>
          <w:highlight w:val="none"/>
        </w:rPr>
        <w:t>1</w:t>
      </w:r>
      <w:r>
        <w:rPr>
          <w:b w:val="0"/>
          <w:bCs/>
          <w:color w:val="auto"/>
          <w:spacing w:val="10"/>
          <w:sz w:val="24"/>
          <w:highlight w:val="none"/>
        </w:rPr>
        <w:t>年。</w:t>
      </w:r>
    </w:p>
    <w:p w14:paraId="7F0345F7">
      <w:pPr>
        <w:spacing w:line="500" w:lineRule="exact"/>
        <w:ind w:firstLine="520" w:firstLineChars="200"/>
        <w:rPr>
          <w:b w:val="0"/>
          <w:bCs/>
          <w:color w:val="auto"/>
          <w:spacing w:val="10"/>
          <w:sz w:val="24"/>
          <w:highlight w:val="none"/>
        </w:rPr>
      </w:pPr>
      <w:r>
        <w:rPr>
          <w:b w:val="0"/>
          <w:bCs/>
          <w:color w:val="auto"/>
          <w:spacing w:val="10"/>
          <w:sz w:val="24"/>
          <w:highlight w:val="none"/>
        </w:rPr>
        <w:t>项目中标单位</w:t>
      </w:r>
      <w:r>
        <w:rPr>
          <w:rFonts w:hint="eastAsia"/>
          <w:b w:val="0"/>
          <w:bCs/>
          <w:color w:val="auto"/>
          <w:spacing w:val="10"/>
          <w:sz w:val="24"/>
          <w:highlight w:val="none"/>
        </w:rPr>
        <w:t>应提供快捷优质的售后和终身服务，接到甲方设备故障信息后2小时内予以响应</w:t>
      </w:r>
      <w:r>
        <w:rPr>
          <w:rFonts w:hint="eastAsia"/>
          <w:b w:val="0"/>
          <w:bCs/>
          <w:color w:val="auto"/>
          <w:spacing w:val="10"/>
          <w:sz w:val="24"/>
          <w:highlight w:val="none"/>
          <w:lang w:val="en-US" w:eastAsia="zh-CN"/>
        </w:rPr>
        <w:t>48</w:t>
      </w:r>
      <w:r>
        <w:rPr>
          <w:rFonts w:hint="eastAsia"/>
          <w:b w:val="0"/>
          <w:bCs/>
          <w:color w:val="auto"/>
          <w:spacing w:val="10"/>
          <w:sz w:val="24"/>
          <w:highlight w:val="none"/>
        </w:rPr>
        <w:t>小时到达工作现场并提出解决方案，及时采取有效的维修措施、更换已损坏的零部件。并做到故障不排除人员不撤离。</w:t>
      </w:r>
    </w:p>
    <w:p w14:paraId="7F0345F8">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保修期满后</w:t>
      </w:r>
      <w:r>
        <w:rPr>
          <w:b w:val="0"/>
          <w:bCs/>
          <w:color w:val="auto"/>
          <w:spacing w:val="10"/>
          <w:sz w:val="24"/>
          <w:highlight w:val="none"/>
        </w:rPr>
        <w:t>项目中标单位</w:t>
      </w:r>
      <w:r>
        <w:rPr>
          <w:rFonts w:hint="eastAsia"/>
          <w:b w:val="0"/>
          <w:bCs/>
          <w:color w:val="auto"/>
          <w:spacing w:val="10"/>
          <w:sz w:val="24"/>
          <w:highlight w:val="none"/>
        </w:rPr>
        <w:t>仍提供以上服务和技术支持，并及时、长期以成本价提供机组的各种备品、备件。</w:t>
      </w:r>
    </w:p>
    <w:p w14:paraId="7F0345F9">
      <w:pPr>
        <w:spacing w:line="500" w:lineRule="exact"/>
        <w:ind w:firstLine="520" w:firstLineChars="200"/>
        <w:rPr>
          <w:b w:val="0"/>
          <w:bCs/>
          <w:color w:val="auto"/>
          <w:spacing w:val="10"/>
          <w:sz w:val="24"/>
          <w:highlight w:val="none"/>
          <w:u w:val="double"/>
        </w:rPr>
      </w:pPr>
      <w:r>
        <w:rPr>
          <w:rFonts w:hint="eastAsia"/>
          <w:b w:val="0"/>
          <w:bCs/>
          <w:color w:val="auto"/>
          <w:spacing w:val="10"/>
          <w:sz w:val="24"/>
          <w:highlight w:val="none"/>
          <w:u w:val="double"/>
        </w:rPr>
        <w:t>项目</w:t>
      </w:r>
      <w:r>
        <w:rPr>
          <w:b w:val="0"/>
          <w:bCs/>
          <w:color w:val="auto"/>
          <w:spacing w:val="10"/>
          <w:sz w:val="24"/>
          <w:highlight w:val="none"/>
          <w:u w:val="double"/>
        </w:rPr>
        <w:t>中标单位应在投标文件中对质保和售后方案做出说明，以确保在质保期内、外均能够及时向</w:t>
      </w:r>
      <w:r>
        <w:rPr>
          <w:rFonts w:hint="eastAsia"/>
          <w:b w:val="0"/>
          <w:bCs/>
          <w:color w:val="auto"/>
          <w:spacing w:val="10"/>
          <w:sz w:val="24"/>
          <w:highlight w:val="none"/>
          <w:u w:val="double"/>
        </w:rPr>
        <w:t>甲方</w:t>
      </w:r>
      <w:r>
        <w:rPr>
          <w:b w:val="0"/>
          <w:bCs/>
          <w:color w:val="auto"/>
          <w:spacing w:val="10"/>
          <w:sz w:val="24"/>
          <w:highlight w:val="none"/>
          <w:u w:val="double"/>
        </w:rPr>
        <w:t>提供优质的维修与零部件更换服务。</w:t>
      </w:r>
    </w:p>
    <w:p w14:paraId="7F0345FA">
      <w:pPr>
        <w:spacing w:line="500" w:lineRule="exact"/>
        <w:rPr>
          <w:b w:val="0"/>
          <w:bCs/>
          <w:color w:val="auto"/>
          <w:spacing w:val="10"/>
          <w:sz w:val="24"/>
          <w:highlight w:val="none"/>
        </w:rPr>
      </w:pPr>
      <w:r>
        <w:rPr>
          <w:b w:val="0"/>
          <w:bCs/>
          <w:color w:val="auto"/>
          <w:spacing w:val="10"/>
          <w:sz w:val="24"/>
          <w:highlight w:val="none"/>
        </w:rPr>
        <w:t>9、附录</w:t>
      </w:r>
    </w:p>
    <w:p w14:paraId="7F0345FB">
      <w:pPr>
        <w:spacing w:line="500" w:lineRule="exact"/>
        <w:ind w:firstLine="520" w:firstLineChars="200"/>
        <w:rPr>
          <w:b w:val="0"/>
          <w:bCs/>
          <w:color w:val="auto"/>
          <w:spacing w:val="10"/>
          <w:sz w:val="24"/>
          <w:highlight w:val="none"/>
        </w:rPr>
      </w:pPr>
      <w:r>
        <w:rPr>
          <w:b w:val="0"/>
          <w:bCs/>
          <w:color w:val="auto"/>
          <w:spacing w:val="10"/>
          <w:sz w:val="24"/>
          <w:highlight w:val="none"/>
        </w:rPr>
        <w:t>附录1：</w:t>
      </w:r>
      <w:r>
        <w:rPr>
          <w:rFonts w:hint="eastAsia"/>
          <w:b w:val="0"/>
          <w:bCs/>
          <w:color w:val="auto"/>
          <w:spacing w:val="10"/>
          <w:sz w:val="24"/>
          <w:highlight w:val="none"/>
        </w:rPr>
        <w:t>1000kg真空自耗电弧炉</w:t>
      </w:r>
      <w:r>
        <w:rPr>
          <w:b w:val="0"/>
          <w:bCs/>
          <w:color w:val="auto"/>
          <w:spacing w:val="10"/>
          <w:sz w:val="24"/>
          <w:highlight w:val="none"/>
        </w:rPr>
        <w:t>熔炼技术方案</w:t>
      </w:r>
    </w:p>
    <w:p w14:paraId="7F0345FC">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附录2：300kg真空自耗电弧炉</w:t>
      </w:r>
      <w:r>
        <w:rPr>
          <w:b w:val="0"/>
          <w:bCs/>
          <w:color w:val="auto"/>
          <w:spacing w:val="10"/>
          <w:sz w:val="24"/>
          <w:highlight w:val="none"/>
        </w:rPr>
        <w:t>熔炼技术方案</w:t>
      </w:r>
    </w:p>
    <w:p w14:paraId="7F0345FD">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附录3：信息化数据接口要求</w:t>
      </w:r>
    </w:p>
    <w:p w14:paraId="7F0345FE">
      <w:pPr>
        <w:spacing w:line="500" w:lineRule="exact"/>
        <w:ind w:firstLine="520" w:firstLineChars="200"/>
        <w:rPr>
          <w:b w:val="0"/>
          <w:bCs/>
          <w:color w:val="auto"/>
          <w:spacing w:val="10"/>
          <w:sz w:val="24"/>
          <w:highlight w:val="none"/>
        </w:rPr>
      </w:pPr>
      <w:r>
        <w:rPr>
          <w:rFonts w:hint="eastAsia"/>
          <w:b w:val="0"/>
          <w:bCs/>
          <w:color w:val="auto"/>
          <w:spacing w:val="10"/>
          <w:sz w:val="24"/>
          <w:highlight w:val="none"/>
        </w:rPr>
        <w:t>附录4：电极块尺寸</w:t>
      </w:r>
    </w:p>
    <w:p w14:paraId="7F0345FF">
      <w:pPr>
        <w:spacing w:line="500" w:lineRule="exact"/>
        <w:ind w:firstLine="520" w:firstLineChars="200"/>
        <w:rPr>
          <w:b w:val="0"/>
          <w:bCs/>
          <w:color w:val="auto"/>
          <w:spacing w:val="10"/>
          <w:sz w:val="24"/>
          <w:highlight w:val="none"/>
        </w:rPr>
        <w:sectPr>
          <w:headerReference r:id="rId8" w:type="default"/>
          <w:footerReference r:id="rId9" w:type="default"/>
          <w:pgSz w:w="11906" w:h="16838"/>
          <w:pgMar w:top="1440" w:right="1080" w:bottom="1440" w:left="1080" w:header="851" w:footer="850" w:gutter="0"/>
          <w:pgNumType w:start="1"/>
          <w:cols w:space="720" w:num="1"/>
          <w:docGrid w:type="lines" w:linePitch="312" w:charSpace="0"/>
        </w:sectPr>
      </w:pPr>
    </w:p>
    <w:p w14:paraId="7F034600">
      <w:pPr>
        <w:spacing w:line="0" w:lineRule="atLeast"/>
        <w:jc w:val="center"/>
        <w:rPr>
          <w:b w:val="0"/>
          <w:bCs/>
          <w:color w:val="auto"/>
          <w:spacing w:val="10"/>
          <w:szCs w:val="21"/>
          <w:highlight w:val="none"/>
        </w:rPr>
      </w:pPr>
      <w:r>
        <w:rPr>
          <w:b w:val="0"/>
          <w:bCs/>
          <w:color w:val="auto"/>
          <w:spacing w:val="10"/>
          <w:szCs w:val="21"/>
          <w:highlight w:val="none"/>
        </w:rPr>
        <w:t>附</w:t>
      </w:r>
      <w:r>
        <w:rPr>
          <w:rFonts w:hint="eastAsia"/>
          <w:b w:val="0"/>
          <w:bCs/>
          <w:color w:val="auto"/>
          <w:spacing w:val="10"/>
          <w:szCs w:val="21"/>
          <w:highlight w:val="none"/>
        </w:rPr>
        <w:t>录1</w:t>
      </w:r>
      <w:r>
        <w:rPr>
          <w:b w:val="0"/>
          <w:bCs/>
          <w:color w:val="auto"/>
          <w:spacing w:val="10"/>
          <w:szCs w:val="21"/>
          <w:highlight w:val="none"/>
        </w:rPr>
        <w:t>—</w:t>
      </w:r>
      <w:r>
        <w:rPr>
          <w:rFonts w:hint="eastAsia"/>
          <w:b w:val="0"/>
          <w:bCs/>
          <w:color w:val="auto"/>
          <w:spacing w:val="10"/>
          <w:szCs w:val="21"/>
          <w:highlight w:val="none"/>
        </w:rPr>
        <w:t>1000kg真空自耗电弧炉</w:t>
      </w:r>
      <w:r>
        <w:rPr>
          <w:b w:val="0"/>
          <w:bCs/>
          <w:color w:val="auto"/>
          <w:spacing w:val="10"/>
          <w:szCs w:val="21"/>
          <w:highlight w:val="none"/>
        </w:rPr>
        <w:t>熔炼技术方案</w:t>
      </w:r>
    </w:p>
    <w:tbl>
      <w:tblPr>
        <w:tblStyle w:val="46"/>
        <w:tblW w:w="15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2766"/>
        <w:gridCol w:w="2213"/>
        <w:gridCol w:w="3200"/>
        <w:gridCol w:w="3087"/>
        <w:gridCol w:w="1338"/>
        <w:gridCol w:w="1525"/>
      </w:tblGrid>
      <w:tr w14:paraId="7F03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vAlign w:val="center"/>
          </w:tcPr>
          <w:p w14:paraId="7F034601">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材料</w:t>
            </w:r>
          </w:p>
        </w:tc>
        <w:tc>
          <w:tcPr>
            <w:tcW w:w="2766" w:type="dxa"/>
            <w:vAlign w:val="center"/>
          </w:tcPr>
          <w:p w14:paraId="7F034602">
            <w:pPr>
              <w:widowControl/>
              <w:spacing w:line="0" w:lineRule="atLeast"/>
              <w:contextualSpacing/>
              <w:jc w:val="center"/>
              <w:rPr>
                <w:b w:val="0"/>
                <w:bCs/>
                <w:color w:val="auto"/>
                <w:kern w:val="0"/>
                <w:sz w:val="24"/>
                <w:highlight w:val="none"/>
              </w:rPr>
            </w:pPr>
            <w:r>
              <w:rPr>
                <w:b w:val="0"/>
                <w:bCs/>
                <w:color w:val="auto"/>
                <w:kern w:val="0"/>
                <w:sz w:val="24"/>
                <w:highlight w:val="none"/>
              </w:rPr>
              <w:t>电极尺寸</w:t>
            </w:r>
          </w:p>
        </w:tc>
        <w:tc>
          <w:tcPr>
            <w:tcW w:w="2213" w:type="dxa"/>
            <w:vAlign w:val="center"/>
          </w:tcPr>
          <w:p w14:paraId="7F034603">
            <w:pPr>
              <w:widowControl/>
              <w:spacing w:line="0" w:lineRule="atLeast"/>
              <w:contextualSpacing/>
              <w:jc w:val="center"/>
              <w:rPr>
                <w:b w:val="0"/>
                <w:bCs/>
                <w:color w:val="auto"/>
                <w:kern w:val="0"/>
                <w:sz w:val="24"/>
                <w:highlight w:val="none"/>
              </w:rPr>
            </w:pPr>
            <w:r>
              <w:rPr>
                <w:b w:val="0"/>
                <w:bCs/>
                <w:color w:val="auto"/>
                <w:kern w:val="0"/>
                <w:sz w:val="24"/>
                <w:highlight w:val="none"/>
              </w:rPr>
              <w:t>一次熔炼</w:t>
            </w:r>
          </w:p>
        </w:tc>
        <w:tc>
          <w:tcPr>
            <w:tcW w:w="3200" w:type="dxa"/>
            <w:vAlign w:val="center"/>
          </w:tcPr>
          <w:p w14:paraId="7F034604">
            <w:pPr>
              <w:widowControl/>
              <w:spacing w:line="0" w:lineRule="atLeast"/>
              <w:contextualSpacing/>
              <w:jc w:val="center"/>
              <w:rPr>
                <w:b w:val="0"/>
                <w:bCs/>
                <w:color w:val="auto"/>
                <w:kern w:val="0"/>
                <w:sz w:val="24"/>
                <w:highlight w:val="none"/>
              </w:rPr>
            </w:pPr>
            <w:r>
              <w:rPr>
                <w:b w:val="0"/>
                <w:bCs/>
                <w:color w:val="auto"/>
                <w:kern w:val="0"/>
                <w:sz w:val="24"/>
                <w:highlight w:val="none"/>
              </w:rPr>
              <w:t>二次熔炼</w:t>
            </w:r>
          </w:p>
        </w:tc>
        <w:tc>
          <w:tcPr>
            <w:tcW w:w="3087" w:type="dxa"/>
            <w:vAlign w:val="center"/>
          </w:tcPr>
          <w:p w14:paraId="7F034605">
            <w:pPr>
              <w:widowControl/>
              <w:spacing w:line="0" w:lineRule="atLeast"/>
              <w:contextualSpacing/>
              <w:jc w:val="center"/>
              <w:rPr>
                <w:b w:val="0"/>
                <w:bCs/>
                <w:color w:val="auto"/>
                <w:kern w:val="0"/>
                <w:sz w:val="24"/>
                <w:highlight w:val="none"/>
              </w:rPr>
            </w:pPr>
            <w:r>
              <w:rPr>
                <w:b w:val="0"/>
                <w:bCs/>
                <w:color w:val="auto"/>
                <w:kern w:val="0"/>
                <w:sz w:val="24"/>
                <w:highlight w:val="none"/>
              </w:rPr>
              <w:t>三次熔炼</w:t>
            </w:r>
          </w:p>
        </w:tc>
        <w:tc>
          <w:tcPr>
            <w:tcW w:w="1338" w:type="dxa"/>
            <w:vAlign w:val="center"/>
          </w:tcPr>
          <w:p w14:paraId="7F034606">
            <w:pPr>
              <w:widowControl/>
              <w:spacing w:line="0" w:lineRule="atLeast"/>
              <w:contextualSpacing/>
              <w:jc w:val="center"/>
              <w:rPr>
                <w:b w:val="0"/>
                <w:bCs/>
                <w:color w:val="auto"/>
                <w:kern w:val="0"/>
                <w:sz w:val="24"/>
                <w:highlight w:val="none"/>
              </w:rPr>
            </w:pPr>
            <w:r>
              <w:rPr>
                <w:b w:val="0"/>
                <w:bCs/>
                <w:color w:val="auto"/>
                <w:kern w:val="0"/>
                <w:sz w:val="24"/>
                <w:highlight w:val="none"/>
              </w:rPr>
              <w:t>成品锭型</w:t>
            </w:r>
          </w:p>
        </w:tc>
        <w:tc>
          <w:tcPr>
            <w:tcW w:w="1525" w:type="dxa"/>
            <w:vAlign w:val="center"/>
          </w:tcPr>
          <w:p w14:paraId="7F034607">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备注</w:t>
            </w:r>
          </w:p>
        </w:tc>
      </w:tr>
      <w:tr w14:paraId="7F03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tcPr>
          <w:p w14:paraId="7F034609">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材  料密度：</w:t>
            </w:r>
          </w:p>
          <w:p w14:paraId="7F03460A">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5.3g/cm</w:t>
            </w:r>
            <w:r>
              <w:rPr>
                <w:rFonts w:hint="eastAsia"/>
                <w:b w:val="0"/>
                <w:bCs/>
                <w:color w:val="auto"/>
                <w:kern w:val="0"/>
                <w:sz w:val="24"/>
                <w:highlight w:val="none"/>
                <w:vertAlign w:val="superscript"/>
              </w:rPr>
              <w:t>3</w:t>
            </w:r>
          </w:p>
          <w:p w14:paraId="7F03460B">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电极块密度：</w:t>
            </w:r>
          </w:p>
          <w:p w14:paraId="7F03460C">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4.0g/cm</w:t>
            </w:r>
            <w:r>
              <w:rPr>
                <w:rFonts w:hint="eastAsia"/>
                <w:b w:val="0"/>
                <w:bCs/>
                <w:color w:val="auto"/>
                <w:kern w:val="0"/>
                <w:sz w:val="24"/>
                <w:highlight w:val="none"/>
                <w:vertAlign w:val="superscript"/>
              </w:rPr>
              <w:t>3</w:t>
            </w:r>
          </w:p>
          <w:p w14:paraId="7F03460D">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0E">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1248kg</w:t>
            </w:r>
          </w:p>
        </w:tc>
        <w:tc>
          <w:tcPr>
            <w:tcW w:w="2766" w:type="dxa"/>
          </w:tcPr>
          <w:p w14:paraId="7F03460F">
            <w:pPr>
              <w:widowControl/>
              <w:spacing w:line="0" w:lineRule="atLeast"/>
              <w:contextualSpacing/>
              <w:jc w:val="left"/>
              <w:rPr>
                <w:b w:val="0"/>
                <w:bCs/>
                <w:color w:val="auto"/>
                <w:kern w:val="0"/>
                <w:sz w:val="24"/>
                <w:highlight w:val="none"/>
              </w:rPr>
            </w:pPr>
            <w:r>
              <w:rPr>
                <w:rFonts w:hint="eastAsia"/>
                <w:b w:val="0"/>
                <w:bCs/>
                <w:color w:val="auto"/>
                <w:kern w:val="0"/>
                <w:sz w:val="16"/>
                <w:szCs w:val="16"/>
                <w:highlight w:val="none"/>
              </w:rPr>
              <w:t>（104kg/块×6块/支，2支）</w:t>
            </w:r>
          </w:p>
          <w:p w14:paraId="7F034610">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11">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300</w:t>
            </w:r>
            <w:r>
              <w:rPr>
                <w:b w:val="0"/>
                <w:bCs/>
                <w:color w:val="auto"/>
                <w:kern w:val="0"/>
                <w:sz w:val="24"/>
                <w:highlight w:val="none"/>
              </w:rPr>
              <w:t>×</w:t>
            </w:r>
            <w:r>
              <w:rPr>
                <w:rFonts w:hint="eastAsia"/>
                <w:b w:val="0"/>
                <w:bCs/>
                <w:color w:val="auto"/>
                <w:kern w:val="0"/>
                <w:sz w:val="24"/>
                <w:highlight w:val="none"/>
              </w:rPr>
              <w:t>2400</w:t>
            </w:r>
            <w:r>
              <w:rPr>
                <w:b w:val="0"/>
                <w:bCs/>
                <w:color w:val="auto"/>
                <w:kern w:val="0"/>
                <w:sz w:val="24"/>
                <w:highlight w:val="none"/>
              </w:rPr>
              <w:t>mm</w:t>
            </w:r>
          </w:p>
          <w:p w14:paraId="7F034612">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13">
            <w:pPr>
              <w:widowControl/>
              <w:spacing w:line="0" w:lineRule="atLeast"/>
              <w:ind w:firstLine="240" w:firstLineChars="100"/>
              <w:contextualSpacing/>
              <w:jc w:val="left"/>
              <w:rPr>
                <w:b w:val="0"/>
                <w:bCs/>
                <w:color w:val="auto"/>
                <w:kern w:val="0"/>
                <w:szCs w:val="21"/>
                <w:highlight w:val="none"/>
              </w:rPr>
            </w:pPr>
            <w:r>
              <w:rPr>
                <w:rFonts w:hint="eastAsia"/>
                <w:b w:val="0"/>
                <w:bCs/>
                <w:color w:val="auto"/>
                <w:kern w:val="0"/>
                <w:sz w:val="24"/>
                <w:highlight w:val="none"/>
              </w:rPr>
              <w:t>625</w:t>
            </w:r>
            <w:r>
              <w:rPr>
                <w:b w:val="0"/>
                <w:bCs/>
                <w:color w:val="auto"/>
                <w:kern w:val="0"/>
                <w:sz w:val="24"/>
                <w:highlight w:val="none"/>
              </w:rPr>
              <w:t>Kg</w:t>
            </w:r>
          </w:p>
        </w:tc>
        <w:tc>
          <w:tcPr>
            <w:tcW w:w="2213" w:type="dxa"/>
          </w:tcPr>
          <w:p w14:paraId="7F034614">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15">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16">
            <w:pPr>
              <w:widowControl/>
              <w:spacing w:line="0" w:lineRule="atLeast"/>
              <w:contextualSpacing/>
              <w:rPr>
                <w:b w:val="0"/>
                <w:bCs/>
                <w:color w:val="auto"/>
                <w:kern w:val="0"/>
                <w:sz w:val="24"/>
                <w:highlight w:val="none"/>
              </w:rPr>
            </w:pPr>
            <w:r>
              <w:rPr>
                <w:b w:val="0"/>
                <w:bCs/>
                <w:color w:val="auto"/>
                <w:kern w:val="0"/>
                <w:sz w:val="24"/>
                <w:highlight w:val="none"/>
              </w:rPr>
              <w:t>坩埚规格：</w:t>
            </w:r>
          </w:p>
          <w:p w14:paraId="7F034617">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Φ360</w:t>
            </w:r>
            <w:r>
              <w:rPr>
                <w:b w:val="0"/>
                <w:bCs/>
                <w:color w:val="auto"/>
                <w:kern w:val="0"/>
                <w:sz w:val="24"/>
                <w:highlight w:val="none"/>
              </w:rPr>
              <w:t>×</w:t>
            </w:r>
            <w:r>
              <w:rPr>
                <w:rFonts w:hint="eastAsia"/>
                <w:b w:val="0"/>
                <w:bCs/>
                <w:color w:val="auto"/>
                <w:kern w:val="0"/>
                <w:sz w:val="24"/>
                <w:highlight w:val="none"/>
              </w:rPr>
              <w:t>1700</w:t>
            </w:r>
            <w:r>
              <w:rPr>
                <w:b w:val="0"/>
                <w:bCs/>
                <w:color w:val="auto"/>
                <w:kern w:val="0"/>
                <w:sz w:val="24"/>
                <w:highlight w:val="none"/>
              </w:rPr>
              <w:t>mm</w:t>
            </w:r>
          </w:p>
          <w:p w14:paraId="7F034618">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（2炉）</w:t>
            </w:r>
          </w:p>
          <w:p w14:paraId="7F034619">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Φ360</w:t>
            </w:r>
            <w:r>
              <w:rPr>
                <w:b w:val="0"/>
                <w:bCs/>
                <w:color w:val="auto"/>
                <w:kern w:val="0"/>
                <w:sz w:val="24"/>
                <w:highlight w:val="none"/>
              </w:rPr>
              <w:t>×</w:t>
            </w:r>
            <w:r>
              <w:rPr>
                <w:rFonts w:hint="eastAsia"/>
                <w:b w:val="0"/>
                <w:bCs/>
                <w:color w:val="auto"/>
                <w:kern w:val="0"/>
                <w:sz w:val="24"/>
                <w:highlight w:val="none"/>
              </w:rPr>
              <w:t>1157</w:t>
            </w:r>
            <w:r>
              <w:rPr>
                <w:b w:val="0"/>
                <w:bCs/>
                <w:color w:val="auto"/>
                <w:kern w:val="0"/>
                <w:sz w:val="24"/>
                <w:highlight w:val="none"/>
              </w:rPr>
              <w:t>mm</w:t>
            </w:r>
          </w:p>
          <w:p w14:paraId="7F03461A">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1B">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483～740mm</w:t>
            </w:r>
          </w:p>
        </w:tc>
        <w:tc>
          <w:tcPr>
            <w:tcW w:w="3200" w:type="dxa"/>
          </w:tcPr>
          <w:p w14:paraId="7F03461C">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Φ360</w:t>
            </w:r>
            <w:r>
              <w:rPr>
                <w:b w:val="0"/>
                <w:bCs/>
                <w:color w:val="auto"/>
                <w:kern w:val="0"/>
                <w:sz w:val="24"/>
                <w:highlight w:val="none"/>
              </w:rPr>
              <w:t>×</w:t>
            </w:r>
            <w:r>
              <w:rPr>
                <w:rFonts w:hint="eastAsia"/>
                <w:b w:val="0"/>
                <w:bCs/>
                <w:color w:val="auto"/>
                <w:kern w:val="0"/>
                <w:sz w:val="24"/>
                <w:highlight w:val="none"/>
              </w:rPr>
              <w:t>2315</w:t>
            </w:r>
            <w:r>
              <w:rPr>
                <w:b w:val="0"/>
                <w:bCs/>
                <w:color w:val="auto"/>
                <w:kern w:val="0"/>
                <w:sz w:val="24"/>
                <w:highlight w:val="none"/>
              </w:rPr>
              <w:t>mm</w:t>
            </w:r>
          </w:p>
          <w:p w14:paraId="7F03461D">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1248</w:t>
            </w:r>
            <w:r>
              <w:rPr>
                <w:b w:val="0"/>
                <w:bCs/>
                <w:color w:val="auto"/>
                <w:kern w:val="0"/>
                <w:sz w:val="24"/>
                <w:highlight w:val="none"/>
              </w:rPr>
              <w:t>Kg</w:t>
            </w:r>
          </w:p>
          <w:p w14:paraId="7F03461E">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Φ450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1F">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20">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21">
            <w:pPr>
              <w:widowControl/>
              <w:spacing w:line="0" w:lineRule="atLeast"/>
              <w:contextualSpacing/>
              <w:rPr>
                <w:b w:val="0"/>
                <w:bCs/>
                <w:color w:val="auto"/>
                <w:kern w:val="0"/>
                <w:sz w:val="24"/>
                <w:highlight w:val="none"/>
              </w:rPr>
            </w:pPr>
            <w:r>
              <w:rPr>
                <w:rFonts w:hint="eastAsia"/>
                <w:b w:val="0"/>
                <w:bCs/>
                <w:color w:val="auto"/>
                <w:kern w:val="0"/>
                <w:sz w:val="24"/>
                <w:highlight w:val="none"/>
              </w:rPr>
              <w:t>Φ450</w:t>
            </w:r>
            <w:r>
              <w:rPr>
                <w:b w:val="0"/>
                <w:bCs/>
                <w:color w:val="auto"/>
                <w:kern w:val="0"/>
                <w:sz w:val="24"/>
                <w:highlight w:val="none"/>
              </w:rPr>
              <w:t>×</w:t>
            </w:r>
            <w:r>
              <w:rPr>
                <w:rFonts w:hint="eastAsia"/>
                <w:b w:val="0"/>
                <w:bCs/>
                <w:color w:val="auto"/>
                <w:kern w:val="0"/>
                <w:sz w:val="24"/>
                <w:highlight w:val="none"/>
              </w:rPr>
              <w:t>1481</w:t>
            </w:r>
            <w:r>
              <w:rPr>
                <w:b w:val="0"/>
                <w:bCs/>
                <w:color w:val="auto"/>
                <w:kern w:val="0"/>
                <w:sz w:val="24"/>
                <w:highlight w:val="none"/>
              </w:rPr>
              <w:t>mm</w:t>
            </w:r>
          </w:p>
          <w:p w14:paraId="7F034622">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23">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459～1125mm</w:t>
            </w:r>
          </w:p>
        </w:tc>
        <w:tc>
          <w:tcPr>
            <w:tcW w:w="3087" w:type="dxa"/>
            <w:vAlign w:val="center"/>
          </w:tcPr>
          <w:p w14:paraId="7F034624">
            <w:pPr>
              <w:widowControl/>
              <w:spacing w:line="0" w:lineRule="atLeast"/>
              <w:contextualSpacing/>
              <w:jc w:val="center"/>
              <w:rPr>
                <w:b w:val="0"/>
                <w:bCs/>
                <w:color w:val="auto"/>
                <w:kern w:val="0"/>
                <w:sz w:val="24"/>
                <w:highlight w:val="none"/>
              </w:rPr>
            </w:pPr>
            <w:r>
              <w:rPr>
                <w:b w:val="0"/>
                <w:bCs/>
                <w:color w:val="auto"/>
                <w:kern w:val="0"/>
                <w:sz w:val="24"/>
                <w:highlight w:val="none"/>
              </w:rPr>
              <w:t>/</w:t>
            </w:r>
          </w:p>
        </w:tc>
        <w:tc>
          <w:tcPr>
            <w:tcW w:w="1338" w:type="dxa"/>
            <w:vAlign w:val="center"/>
          </w:tcPr>
          <w:p w14:paraId="7F034625">
            <w:pPr>
              <w:widowControl/>
              <w:spacing w:line="0" w:lineRule="atLeast"/>
              <w:contextualSpacing/>
              <w:jc w:val="center"/>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450</w:t>
            </w:r>
            <w:r>
              <w:rPr>
                <w:b w:val="0"/>
                <w:bCs/>
                <w:color w:val="auto"/>
                <w:kern w:val="0"/>
                <w:sz w:val="24"/>
                <w:highlight w:val="none"/>
              </w:rPr>
              <w:t>mm</w:t>
            </w:r>
          </w:p>
          <w:p w14:paraId="7F034626">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两次锭</w:t>
            </w:r>
          </w:p>
        </w:tc>
        <w:tc>
          <w:tcPr>
            <w:tcW w:w="1525" w:type="dxa"/>
            <w:vMerge w:val="restart"/>
            <w:vAlign w:val="center"/>
          </w:tcPr>
          <w:p w14:paraId="7F034627">
            <w:pPr>
              <w:widowControl/>
              <w:spacing w:line="0" w:lineRule="atLeast"/>
              <w:contextualSpacing/>
              <w:rPr>
                <w:b w:val="0"/>
                <w:bCs/>
                <w:color w:val="auto"/>
                <w:kern w:val="0"/>
                <w:sz w:val="24"/>
                <w:highlight w:val="none"/>
              </w:rPr>
            </w:pPr>
            <w:r>
              <w:rPr>
                <w:rFonts w:hint="eastAsia"/>
                <w:b w:val="0"/>
                <w:bCs/>
                <w:color w:val="auto"/>
                <w:kern w:val="0"/>
                <w:sz w:val="24"/>
                <w:highlight w:val="none"/>
              </w:rPr>
              <w:t>成品锭：</w:t>
            </w:r>
          </w:p>
          <w:p w14:paraId="7F034628">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不切冒口</w:t>
            </w:r>
          </w:p>
          <w:p w14:paraId="7F034629">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不扒皮</w:t>
            </w:r>
          </w:p>
        </w:tc>
      </w:tr>
      <w:tr w14:paraId="7F03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tcPr>
          <w:p w14:paraId="7F03462B">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材  料密度：</w:t>
            </w:r>
          </w:p>
          <w:p w14:paraId="7F03462C">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4.5g/cm</w:t>
            </w:r>
            <w:r>
              <w:rPr>
                <w:rFonts w:hint="eastAsia"/>
                <w:b w:val="0"/>
                <w:bCs/>
                <w:color w:val="auto"/>
                <w:kern w:val="0"/>
                <w:sz w:val="24"/>
                <w:highlight w:val="none"/>
                <w:vertAlign w:val="superscript"/>
              </w:rPr>
              <w:t>3</w:t>
            </w:r>
          </w:p>
          <w:p w14:paraId="7F03462D">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电极块密度：</w:t>
            </w:r>
          </w:p>
          <w:p w14:paraId="7F03462E">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3.45g/cm</w:t>
            </w:r>
            <w:r>
              <w:rPr>
                <w:rFonts w:hint="eastAsia"/>
                <w:b w:val="0"/>
                <w:bCs/>
                <w:color w:val="auto"/>
                <w:kern w:val="0"/>
                <w:sz w:val="24"/>
                <w:highlight w:val="none"/>
                <w:vertAlign w:val="superscript"/>
              </w:rPr>
              <w:t>3</w:t>
            </w:r>
          </w:p>
          <w:p w14:paraId="7F03462F">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30">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1236kg</w:t>
            </w:r>
          </w:p>
        </w:tc>
        <w:tc>
          <w:tcPr>
            <w:tcW w:w="2766" w:type="dxa"/>
          </w:tcPr>
          <w:p w14:paraId="7F034631">
            <w:pPr>
              <w:widowControl/>
              <w:spacing w:line="0" w:lineRule="atLeast"/>
              <w:contextualSpacing/>
              <w:jc w:val="left"/>
              <w:rPr>
                <w:b w:val="0"/>
                <w:bCs/>
                <w:color w:val="auto"/>
                <w:kern w:val="0"/>
                <w:sz w:val="16"/>
                <w:szCs w:val="16"/>
                <w:highlight w:val="none"/>
              </w:rPr>
            </w:pPr>
            <w:r>
              <w:rPr>
                <w:rFonts w:hint="eastAsia"/>
                <w:b w:val="0"/>
                <w:bCs/>
                <w:color w:val="auto"/>
                <w:kern w:val="0"/>
                <w:sz w:val="16"/>
                <w:szCs w:val="16"/>
                <w:highlight w:val="none"/>
              </w:rPr>
              <w:t>（103kg/块×6块/支，2支）</w:t>
            </w:r>
          </w:p>
          <w:p w14:paraId="7F034632">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33">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340</w:t>
            </w:r>
            <w:r>
              <w:rPr>
                <w:b w:val="0"/>
                <w:bCs/>
                <w:color w:val="auto"/>
                <w:kern w:val="0"/>
                <w:sz w:val="24"/>
                <w:highlight w:val="none"/>
              </w:rPr>
              <w:t>×</w:t>
            </w:r>
            <w:r>
              <w:rPr>
                <w:rFonts w:hint="eastAsia"/>
                <w:b w:val="0"/>
                <w:bCs/>
                <w:color w:val="auto"/>
                <w:kern w:val="0"/>
                <w:sz w:val="24"/>
                <w:highlight w:val="none"/>
              </w:rPr>
              <w:t>2400</w:t>
            </w:r>
            <w:r>
              <w:rPr>
                <w:b w:val="0"/>
                <w:bCs/>
                <w:color w:val="auto"/>
                <w:kern w:val="0"/>
                <w:sz w:val="24"/>
                <w:highlight w:val="none"/>
              </w:rPr>
              <w:t>mm</w:t>
            </w:r>
          </w:p>
          <w:p w14:paraId="7F034634">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35">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618</w:t>
            </w:r>
            <w:r>
              <w:rPr>
                <w:b w:val="0"/>
                <w:bCs/>
                <w:color w:val="auto"/>
                <w:kern w:val="0"/>
                <w:sz w:val="24"/>
                <w:highlight w:val="none"/>
              </w:rPr>
              <w:t>Kg</w:t>
            </w:r>
          </w:p>
        </w:tc>
        <w:tc>
          <w:tcPr>
            <w:tcW w:w="2213" w:type="dxa"/>
          </w:tcPr>
          <w:p w14:paraId="7F034636">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37">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38">
            <w:pPr>
              <w:widowControl/>
              <w:spacing w:line="0" w:lineRule="atLeast"/>
              <w:contextualSpacing/>
              <w:rPr>
                <w:b w:val="0"/>
                <w:bCs/>
                <w:color w:val="auto"/>
                <w:kern w:val="0"/>
                <w:sz w:val="24"/>
                <w:highlight w:val="none"/>
              </w:rPr>
            </w:pPr>
            <w:r>
              <w:rPr>
                <w:b w:val="0"/>
                <w:bCs/>
                <w:color w:val="auto"/>
                <w:kern w:val="0"/>
                <w:sz w:val="24"/>
                <w:highlight w:val="none"/>
              </w:rPr>
              <w:t>坩埚规格：</w:t>
            </w:r>
          </w:p>
          <w:p w14:paraId="7F034639">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p>
          <w:p w14:paraId="7F03463A">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（2炉）</w:t>
            </w:r>
          </w:p>
          <w:p w14:paraId="7F03463B">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1093</w:t>
            </w:r>
            <w:r>
              <w:rPr>
                <w:b w:val="0"/>
                <w:bCs/>
                <w:color w:val="auto"/>
                <w:kern w:val="0"/>
                <w:sz w:val="24"/>
                <w:highlight w:val="none"/>
              </w:rPr>
              <w:t>mm</w:t>
            </w:r>
          </w:p>
          <w:p w14:paraId="7F03463C">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3D">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447～640mm</w:t>
            </w:r>
          </w:p>
        </w:tc>
        <w:tc>
          <w:tcPr>
            <w:tcW w:w="3200" w:type="dxa"/>
          </w:tcPr>
          <w:p w14:paraId="7F03463E">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2187</w:t>
            </w:r>
            <w:r>
              <w:rPr>
                <w:b w:val="0"/>
                <w:bCs/>
                <w:color w:val="auto"/>
                <w:kern w:val="0"/>
                <w:sz w:val="24"/>
                <w:highlight w:val="none"/>
              </w:rPr>
              <w:t>mm</w:t>
            </w:r>
          </w:p>
          <w:p w14:paraId="7F03463F">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1236</w:t>
            </w:r>
            <w:r>
              <w:rPr>
                <w:b w:val="0"/>
                <w:bCs/>
                <w:color w:val="auto"/>
                <w:kern w:val="0"/>
                <w:sz w:val="24"/>
                <w:highlight w:val="none"/>
              </w:rPr>
              <w:t>Kg</w:t>
            </w:r>
          </w:p>
          <w:p w14:paraId="7F034640">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Φ480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41">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42">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43">
            <w:pPr>
              <w:widowControl/>
              <w:spacing w:line="0" w:lineRule="atLeast"/>
              <w:contextualSpacing/>
              <w:rPr>
                <w:b w:val="0"/>
                <w:bCs/>
                <w:color w:val="auto"/>
                <w:kern w:val="0"/>
                <w:sz w:val="24"/>
                <w:highlight w:val="none"/>
              </w:rPr>
            </w:pPr>
            <w:r>
              <w:rPr>
                <w:rFonts w:hint="eastAsia"/>
                <w:b w:val="0"/>
                <w:bCs/>
                <w:color w:val="auto"/>
                <w:kern w:val="0"/>
                <w:sz w:val="24"/>
                <w:highlight w:val="none"/>
              </w:rPr>
              <w:t>Φ480</w:t>
            </w:r>
            <w:r>
              <w:rPr>
                <w:b w:val="0"/>
                <w:bCs/>
                <w:color w:val="auto"/>
                <w:kern w:val="0"/>
                <w:sz w:val="24"/>
                <w:highlight w:val="none"/>
              </w:rPr>
              <w:t>×</w:t>
            </w:r>
            <w:r>
              <w:rPr>
                <w:rFonts w:hint="eastAsia"/>
                <w:b w:val="0"/>
                <w:bCs/>
                <w:color w:val="auto"/>
                <w:kern w:val="0"/>
                <w:sz w:val="24"/>
                <w:highlight w:val="none"/>
              </w:rPr>
              <w:t>1519</w:t>
            </w:r>
            <w:r>
              <w:rPr>
                <w:b w:val="0"/>
                <w:bCs/>
                <w:color w:val="auto"/>
                <w:kern w:val="0"/>
                <w:sz w:val="24"/>
                <w:highlight w:val="none"/>
              </w:rPr>
              <w:t>mm</w:t>
            </w:r>
          </w:p>
          <w:p w14:paraId="7F034644">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45">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421～1253mm</w:t>
            </w:r>
          </w:p>
        </w:tc>
        <w:tc>
          <w:tcPr>
            <w:tcW w:w="3087" w:type="dxa"/>
            <w:vAlign w:val="center"/>
          </w:tcPr>
          <w:p w14:paraId="7F034646">
            <w:pPr>
              <w:widowControl/>
              <w:spacing w:line="0" w:lineRule="atLeast"/>
              <w:contextualSpacing/>
              <w:jc w:val="center"/>
              <w:rPr>
                <w:b w:val="0"/>
                <w:bCs/>
                <w:color w:val="auto"/>
                <w:kern w:val="0"/>
                <w:sz w:val="24"/>
                <w:highlight w:val="none"/>
              </w:rPr>
            </w:pPr>
            <w:r>
              <w:rPr>
                <w:b w:val="0"/>
                <w:bCs/>
                <w:color w:val="auto"/>
                <w:kern w:val="0"/>
                <w:sz w:val="24"/>
                <w:highlight w:val="none"/>
              </w:rPr>
              <w:t>/</w:t>
            </w:r>
          </w:p>
        </w:tc>
        <w:tc>
          <w:tcPr>
            <w:tcW w:w="1338" w:type="dxa"/>
            <w:vAlign w:val="center"/>
          </w:tcPr>
          <w:p w14:paraId="7F034647">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Φ480</w:t>
            </w:r>
            <w:r>
              <w:rPr>
                <w:b w:val="0"/>
                <w:bCs/>
                <w:color w:val="auto"/>
                <w:kern w:val="0"/>
                <w:sz w:val="24"/>
                <w:highlight w:val="none"/>
              </w:rPr>
              <w:t>mm</w:t>
            </w:r>
          </w:p>
          <w:p w14:paraId="7F034648">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两次锭</w:t>
            </w:r>
          </w:p>
        </w:tc>
        <w:tc>
          <w:tcPr>
            <w:tcW w:w="1525" w:type="dxa"/>
            <w:vMerge w:val="continue"/>
            <w:vAlign w:val="center"/>
          </w:tcPr>
          <w:p w14:paraId="7F034649">
            <w:pPr>
              <w:widowControl/>
              <w:spacing w:line="0" w:lineRule="atLeast"/>
              <w:contextualSpacing/>
              <w:jc w:val="center"/>
              <w:rPr>
                <w:b w:val="0"/>
                <w:bCs/>
                <w:color w:val="auto"/>
                <w:kern w:val="0"/>
                <w:sz w:val="24"/>
                <w:highlight w:val="none"/>
              </w:rPr>
            </w:pPr>
          </w:p>
        </w:tc>
      </w:tr>
      <w:tr w14:paraId="7F03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tcPr>
          <w:p w14:paraId="7F03464B">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材  料密度：</w:t>
            </w:r>
          </w:p>
          <w:p w14:paraId="7F03464C">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4.5g/cm</w:t>
            </w:r>
            <w:r>
              <w:rPr>
                <w:rFonts w:hint="eastAsia"/>
                <w:b w:val="0"/>
                <w:bCs/>
                <w:color w:val="auto"/>
                <w:kern w:val="0"/>
                <w:sz w:val="24"/>
                <w:highlight w:val="none"/>
                <w:vertAlign w:val="superscript"/>
              </w:rPr>
              <w:t>3</w:t>
            </w:r>
          </w:p>
          <w:p w14:paraId="7F03464D">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电极块密度：</w:t>
            </w:r>
          </w:p>
          <w:p w14:paraId="7F03464E">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3.45g/cm</w:t>
            </w:r>
            <w:r>
              <w:rPr>
                <w:rFonts w:hint="eastAsia"/>
                <w:b w:val="0"/>
                <w:bCs/>
                <w:color w:val="auto"/>
                <w:kern w:val="0"/>
                <w:sz w:val="24"/>
                <w:highlight w:val="none"/>
                <w:vertAlign w:val="superscript"/>
              </w:rPr>
              <w:t>3</w:t>
            </w:r>
          </w:p>
          <w:p w14:paraId="7F03464F">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50">
            <w:pPr>
              <w:widowControl/>
              <w:spacing w:line="0" w:lineRule="atLeast"/>
              <w:ind w:firstLine="240" w:firstLineChars="100"/>
              <w:contextualSpacing/>
              <w:jc w:val="left"/>
              <w:rPr>
                <w:rFonts w:eastAsia="等线"/>
                <w:b w:val="0"/>
                <w:bCs/>
                <w:color w:val="auto"/>
                <w:kern w:val="0"/>
                <w:sz w:val="24"/>
                <w:highlight w:val="none"/>
                <w:vertAlign w:val="superscript"/>
              </w:rPr>
            </w:pPr>
            <w:r>
              <w:rPr>
                <w:rFonts w:hint="eastAsia"/>
                <w:b w:val="0"/>
                <w:bCs/>
                <w:color w:val="auto"/>
                <w:kern w:val="0"/>
                <w:sz w:val="24"/>
                <w:highlight w:val="none"/>
              </w:rPr>
              <w:t>1010kg</w:t>
            </w:r>
          </w:p>
        </w:tc>
        <w:tc>
          <w:tcPr>
            <w:tcW w:w="2766" w:type="dxa"/>
          </w:tcPr>
          <w:p w14:paraId="7F034651">
            <w:pPr>
              <w:widowControl/>
              <w:spacing w:line="0" w:lineRule="atLeast"/>
              <w:contextualSpacing/>
              <w:jc w:val="left"/>
              <w:rPr>
                <w:b w:val="0"/>
                <w:bCs/>
                <w:color w:val="auto"/>
                <w:kern w:val="0"/>
                <w:sz w:val="16"/>
                <w:szCs w:val="16"/>
                <w:highlight w:val="none"/>
              </w:rPr>
            </w:pPr>
            <w:r>
              <w:rPr>
                <w:rFonts w:hint="eastAsia"/>
                <w:b w:val="0"/>
                <w:bCs/>
                <w:color w:val="auto"/>
                <w:kern w:val="0"/>
                <w:sz w:val="16"/>
                <w:szCs w:val="16"/>
                <w:highlight w:val="none"/>
              </w:rPr>
              <w:t>（40.4kg/块×5块/支，5支）</w:t>
            </w:r>
          </w:p>
          <w:p w14:paraId="7F034652">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53">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220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54">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55">
            <w:pPr>
              <w:widowControl/>
              <w:spacing w:line="0" w:lineRule="atLeast"/>
              <w:ind w:firstLine="240" w:firstLineChars="100"/>
              <w:contextualSpacing/>
              <w:jc w:val="left"/>
              <w:rPr>
                <w:rFonts w:eastAsia="等线"/>
                <w:b w:val="0"/>
                <w:bCs/>
                <w:color w:val="auto"/>
                <w:kern w:val="0"/>
                <w:szCs w:val="21"/>
                <w:highlight w:val="none"/>
              </w:rPr>
            </w:pPr>
            <w:r>
              <w:rPr>
                <w:rFonts w:hint="eastAsia"/>
                <w:b w:val="0"/>
                <w:bCs/>
                <w:color w:val="auto"/>
                <w:kern w:val="0"/>
                <w:sz w:val="24"/>
                <w:highlight w:val="none"/>
              </w:rPr>
              <w:t>202</w:t>
            </w:r>
            <w:r>
              <w:rPr>
                <w:b w:val="0"/>
                <w:bCs/>
                <w:color w:val="auto"/>
                <w:kern w:val="0"/>
                <w:sz w:val="24"/>
                <w:highlight w:val="none"/>
              </w:rPr>
              <w:t>Kg</w:t>
            </w:r>
          </w:p>
        </w:tc>
        <w:tc>
          <w:tcPr>
            <w:tcW w:w="2213" w:type="dxa"/>
          </w:tcPr>
          <w:p w14:paraId="7F034656">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57">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58">
            <w:pPr>
              <w:widowControl/>
              <w:spacing w:line="0" w:lineRule="atLeast"/>
              <w:contextualSpacing/>
              <w:rPr>
                <w:b w:val="0"/>
                <w:bCs/>
                <w:color w:val="auto"/>
                <w:kern w:val="0"/>
                <w:sz w:val="24"/>
                <w:highlight w:val="none"/>
              </w:rPr>
            </w:pPr>
            <w:r>
              <w:rPr>
                <w:b w:val="0"/>
                <w:bCs/>
                <w:color w:val="auto"/>
                <w:kern w:val="0"/>
                <w:sz w:val="24"/>
                <w:highlight w:val="none"/>
              </w:rPr>
              <w:t>坩埚规格：</w:t>
            </w:r>
          </w:p>
          <w:p w14:paraId="7F034659">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1200</w:t>
            </w:r>
            <w:r>
              <w:rPr>
                <w:b w:val="0"/>
                <w:bCs/>
                <w:color w:val="auto"/>
                <w:kern w:val="0"/>
                <w:sz w:val="24"/>
                <w:highlight w:val="none"/>
              </w:rPr>
              <w:t>mm</w:t>
            </w:r>
          </w:p>
          <w:p w14:paraId="7F03465A">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（5炉）</w:t>
            </w:r>
          </w:p>
          <w:p w14:paraId="7F03465B">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635</w:t>
            </w:r>
            <w:r>
              <w:rPr>
                <w:b w:val="0"/>
                <w:bCs/>
                <w:color w:val="auto"/>
                <w:kern w:val="0"/>
                <w:sz w:val="24"/>
                <w:highlight w:val="none"/>
              </w:rPr>
              <w:t>mm</w:t>
            </w:r>
          </w:p>
          <w:p w14:paraId="7F03465C">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5D">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505～640mm</w:t>
            </w:r>
          </w:p>
        </w:tc>
        <w:tc>
          <w:tcPr>
            <w:tcW w:w="3200" w:type="dxa"/>
          </w:tcPr>
          <w:p w14:paraId="7F03465E">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3177</w:t>
            </w:r>
            <w:r>
              <w:rPr>
                <w:b w:val="0"/>
                <w:bCs/>
                <w:color w:val="auto"/>
                <w:kern w:val="0"/>
                <w:sz w:val="24"/>
                <w:highlight w:val="none"/>
              </w:rPr>
              <w:t>mm</w:t>
            </w:r>
          </w:p>
          <w:p w14:paraId="7F03465F">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1010</w:t>
            </w:r>
            <w:r>
              <w:rPr>
                <w:b w:val="0"/>
                <w:bCs/>
                <w:color w:val="auto"/>
                <w:kern w:val="0"/>
                <w:sz w:val="24"/>
                <w:highlight w:val="none"/>
              </w:rPr>
              <w:t>Kg</w:t>
            </w:r>
          </w:p>
          <w:p w14:paraId="7F034660">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2450</w:t>
            </w:r>
            <w:r>
              <w:rPr>
                <w:b w:val="0"/>
                <w:bCs/>
                <w:color w:val="auto"/>
                <w:kern w:val="0"/>
                <w:sz w:val="24"/>
                <w:highlight w:val="none"/>
              </w:rPr>
              <w:t>mm</w:t>
            </w:r>
          </w:p>
          <w:p w14:paraId="7F034661">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62">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63">
            <w:pPr>
              <w:widowControl/>
              <w:spacing w:line="0" w:lineRule="atLeast"/>
              <w:contextualSpacing/>
              <w:rPr>
                <w:b w:val="0"/>
                <w:bCs/>
                <w:color w:val="auto"/>
                <w:kern w:val="0"/>
                <w:sz w:val="24"/>
                <w:highlight w:val="none"/>
              </w:rPr>
            </w:pP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1787</w:t>
            </w:r>
            <w:r>
              <w:rPr>
                <w:b w:val="0"/>
                <w:bCs/>
                <w:color w:val="auto"/>
                <w:kern w:val="0"/>
                <w:sz w:val="24"/>
                <w:highlight w:val="none"/>
              </w:rPr>
              <w:t>mm</w:t>
            </w:r>
          </w:p>
          <w:p w14:paraId="7F034664">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65">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603～713mm</w:t>
            </w:r>
          </w:p>
        </w:tc>
        <w:tc>
          <w:tcPr>
            <w:tcW w:w="3087" w:type="dxa"/>
          </w:tcPr>
          <w:p w14:paraId="7F034666">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1787</w:t>
            </w:r>
            <w:r>
              <w:rPr>
                <w:b w:val="0"/>
                <w:bCs/>
                <w:color w:val="auto"/>
                <w:kern w:val="0"/>
                <w:sz w:val="24"/>
                <w:highlight w:val="none"/>
              </w:rPr>
              <w:t>mm</w:t>
            </w:r>
          </w:p>
          <w:p w14:paraId="7F034667">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1010</w:t>
            </w:r>
            <w:r>
              <w:rPr>
                <w:b w:val="0"/>
                <w:bCs/>
                <w:color w:val="auto"/>
                <w:kern w:val="0"/>
                <w:sz w:val="24"/>
                <w:highlight w:val="none"/>
              </w:rPr>
              <w:t>Kg</w:t>
            </w:r>
          </w:p>
          <w:p w14:paraId="7F034668">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Φ480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69">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6A">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6B">
            <w:pPr>
              <w:widowControl/>
              <w:spacing w:line="0" w:lineRule="atLeast"/>
              <w:contextualSpacing/>
              <w:rPr>
                <w:b w:val="0"/>
                <w:bCs/>
                <w:color w:val="auto"/>
                <w:kern w:val="0"/>
                <w:sz w:val="24"/>
                <w:highlight w:val="none"/>
              </w:rPr>
            </w:pPr>
            <w:r>
              <w:rPr>
                <w:rFonts w:hint="eastAsia"/>
                <w:b w:val="0"/>
                <w:bCs/>
                <w:color w:val="auto"/>
                <w:kern w:val="0"/>
                <w:sz w:val="24"/>
                <w:highlight w:val="none"/>
              </w:rPr>
              <w:t>Φ480</w:t>
            </w:r>
            <w:r>
              <w:rPr>
                <w:b w:val="0"/>
                <w:bCs/>
                <w:color w:val="auto"/>
                <w:kern w:val="0"/>
                <w:sz w:val="24"/>
                <w:highlight w:val="none"/>
              </w:rPr>
              <w:t>×</w:t>
            </w:r>
            <w:r>
              <w:rPr>
                <w:rFonts w:hint="eastAsia"/>
                <w:b w:val="0"/>
                <w:bCs/>
                <w:color w:val="auto"/>
                <w:kern w:val="0"/>
                <w:sz w:val="24"/>
                <w:highlight w:val="none"/>
              </w:rPr>
              <w:t>1241</w:t>
            </w:r>
            <w:r>
              <w:rPr>
                <w:b w:val="0"/>
                <w:bCs/>
                <w:color w:val="auto"/>
                <w:kern w:val="0"/>
                <w:sz w:val="24"/>
                <w:highlight w:val="none"/>
              </w:rPr>
              <w:t>mm</w:t>
            </w:r>
          </w:p>
          <w:p w14:paraId="7F03466C">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6D">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699～1653mm</w:t>
            </w:r>
          </w:p>
        </w:tc>
        <w:tc>
          <w:tcPr>
            <w:tcW w:w="1338" w:type="dxa"/>
            <w:vAlign w:val="center"/>
          </w:tcPr>
          <w:p w14:paraId="7F03466E">
            <w:pPr>
              <w:widowControl/>
              <w:spacing w:line="0" w:lineRule="atLeast"/>
              <w:contextualSpacing/>
              <w:jc w:val="center"/>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480</w:t>
            </w:r>
            <w:r>
              <w:rPr>
                <w:b w:val="0"/>
                <w:bCs/>
                <w:color w:val="auto"/>
                <w:kern w:val="0"/>
                <w:sz w:val="24"/>
                <w:highlight w:val="none"/>
              </w:rPr>
              <w:t>mm</w:t>
            </w:r>
          </w:p>
          <w:p w14:paraId="7F03466F">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三次锭</w:t>
            </w:r>
          </w:p>
        </w:tc>
        <w:tc>
          <w:tcPr>
            <w:tcW w:w="1525" w:type="dxa"/>
            <w:vMerge w:val="continue"/>
            <w:vAlign w:val="center"/>
          </w:tcPr>
          <w:p w14:paraId="7F034670">
            <w:pPr>
              <w:widowControl/>
              <w:spacing w:line="0" w:lineRule="atLeast"/>
              <w:contextualSpacing/>
              <w:jc w:val="center"/>
              <w:rPr>
                <w:b w:val="0"/>
                <w:bCs/>
                <w:color w:val="auto"/>
                <w:kern w:val="0"/>
                <w:sz w:val="24"/>
                <w:highlight w:val="none"/>
              </w:rPr>
            </w:pPr>
          </w:p>
        </w:tc>
      </w:tr>
      <w:tr w14:paraId="7F03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874" w:type="dxa"/>
            <w:gridSpan w:val="7"/>
          </w:tcPr>
          <w:p w14:paraId="7F034672">
            <w:pPr>
              <w:widowControl/>
              <w:numPr>
                <w:ilvl w:val="0"/>
                <w:numId w:val="12"/>
              </w:numPr>
              <w:spacing w:line="0" w:lineRule="atLeast"/>
              <w:contextualSpacing/>
              <w:jc w:val="left"/>
              <w:rPr>
                <w:b w:val="0"/>
                <w:bCs/>
                <w:color w:val="auto"/>
                <w:kern w:val="0"/>
                <w:sz w:val="24"/>
                <w:highlight w:val="none"/>
              </w:rPr>
            </w:pPr>
            <w:r>
              <w:rPr>
                <w:b w:val="0"/>
                <w:bCs/>
                <w:color w:val="auto"/>
                <w:kern w:val="0"/>
                <w:sz w:val="24"/>
                <w:highlight w:val="none"/>
              </w:rPr>
              <w:t>需提供</w:t>
            </w:r>
            <w:r>
              <w:rPr>
                <w:rFonts w:hint="eastAsia"/>
                <w:b w:val="0"/>
                <w:bCs/>
                <w:color w:val="auto"/>
                <w:kern w:val="0"/>
                <w:sz w:val="24"/>
                <w:highlight w:val="none"/>
              </w:rPr>
              <w:t>以下坩埚</w:t>
            </w:r>
            <w:r>
              <w:rPr>
                <w:b w:val="0"/>
                <w:bCs/>
                <w:color w:val="auto"/>
                <w:kern w:val="0"/>
                <w:sz w:val="24"/>
                <w:highlight w:val="none"/>
              </w:rPr>
              <w:t>的设计图纸</w:t>
            </w:r>
            <w:r>
              <w:rPr>
                <w:rFonts w:hint="eastAsia"/>
                <w:b w:val="0"/>
                <w:bCs/>
                <w:color w:val="auto"/>
                <w:kern w:val="0"/>
                <w:sz w:val="24"/>
                <w:highlight w:val="none"/>
              </w:rPr>
              <w:t>：</w:t>
            </w:r>
          </w:p>
          <w:p w14:paraId="7F034673">
            <w:pPr>
              <w:widowControl/>
              <w:numPr>
                <w:ilvl w:val="1"/>
                <w:numId w:val="13"/>
              </w:numPr>
              <w:spacing w:line="0" w:lineRule="atLeast"/>
              <w:contextualSpacing/>
              <w:jc w:val="left"/>
              <w:rPr>
                <w:b w:val="0"/>
                <w:bCs/>
                <w:color w:val="auto"/>
                <w:kern w:val="0"/>
                <w:sz w:val="24"/>
                <w:highlight w:val="none"/>
              </w:rPr>
            </w:pPr>
            <w:r>
              <w:rPr>
                <w:rFonts w:hint="eastAsia"/>
                <w:b w:val="0"/>
                <w:bCs/>
                <w:color w:val="auto"/>
                <w:kern w:val="0"/>
                <w:sz w:val="24"/>
                <w:highlight w:val="none"/>
              </w:rPr>
              <w:t>常规坩埚：</w:t>
            </w:r>
            <w:r>
              <w:rPr>
                <w:b w:val="0"/>
                <w:bCs/>
                <w:color w:val="auto"/>
                <w:kern w:val="0"/>
                <w:sz w:val="24"/>
                <w:highlight w:val="none"/>
              </w:rPr>
              <w:t>Φ</w:t>
            </w:r>
            <w:r>
              <w:rPr>
                <w:rFonts w:hint="eastAsia"/>
                <w:b w:val="0"/>
                <w:bCs/>
                <w:color w:val="auto"/>
                <w:kern w:val="0"/>
                <w:sz w:val="24"/>
                <w:highlight w:val="none"/>
              </w:rPr>
              <w:t>220</w:t>
            </w:r>
            <w:r>
              <w:rPr>
                <w:b w:val="0"/>
                <w:bCs/>
                <w:color w:val="auto"/>
                <w:kern w:val="0"/>
                <w:sz w:val="24"/>
                <w:highlight w:val="none"/>
              </w:rPr>
              <w:t>×</w:t>
            </w:r>
            <w:r>
              <w:rPr>
                <w:rFonts w:hint="eastAsia"/>
                <w:b w:val="0"/>
                <w:bCs/>
                <w:color w:val="auto"/>
                <w:kern w:val="0"/>
                <w:sz w:val="24"/>
                <w:highlight w:val="none"/>
              </w:rPr>
              <w:t>（2300）</w:t>
            </w:r>
            <w:r>
              <w:rPr>
                <w:b w:val="0"/>
                <w:bCs/>
                <w:color w:val="auto"/>
                <w:kern w:val="0"/>
                <w:sz w:val="24"/>
                <w:highlight w:val="none"/>
              </w:rPr>
              <w:t>mm、Φ</w:t>
            </w:r>
            <w:r>
              <w:rPr>
                <w:rFonts w:hint="eastAsia"/>
                <w:b w:val="0"/>
                <w:bCs/>
                <w:color w:val="auto"/>
                <w:kern w:val="0"/>
                <w:sz w:val="24"/>
                <w:highlight w:val="none"/>
              </w:rPr>
              <w:t>280</w:t>
            </w:r>
            <w:r>
              <w:rPr>
                <w:b w:val="0"/>
                <w:bCs/>
                <w:color w:val="auto"/>
                <w:kern w:val="0"/>
                <w:sz w:val="24"/>
                <w:highlight w:val="none"/>
              </w:rPr>
              <w:t>×</w:t>
            </w:r>
            <w:r>
              <w:rPr>
                <w:rFonts w:hint="eastAsia"/>
                <w:b w:val="0"/>
                <w:bCs/>
                <w:color w:val="auto"/>
                <w:kern w:val="0"/>
                <w:sz w:val="24"/>
                <w:highlight w:val="none"/>
              </w:rPr>
              <w:t>（2300）</w:t>
            </w:r>
            <w:r>
              <w:rPr>
                <w:b w:val="0"/>
                <w:bCs/>
                <w:color w:val="auto"/>
                <w:kern w:val="0"/>
                <w:sz w:val="24"/>
                <w:highlight w:val="none"/>
              </w:rPr>
              <w:t>mm、</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1200</w:t>
            </w:r>
            <w:r>
              <w:rPr>
                <w:b w:val="0"/>
                <w:bCs/>
                <w:color w:val="auto"/>
                <w:kern w:val="0"/>
                <w:sz w:val="24"/>
                <w:highlight w:val="none"/>
              </w:rPr>
              <w:t>mm、</w:t>
            </w:r>
            <w:r>
              <w:rPr>
                <w:rFonts w:hint="eastAsia"/>
                <w:b w:val="0"/>
                <w:bCs/>
                <w:color w:val="auto"/>
                <w:kern w:val="0"/>
                <w:sz w:val="24"/>
                <w:highlight w:val="none"/>
              </w:rPr>
              <w:t>Φ360</w:t>
            </w:r>
            <w:r>
              <w:rPr>
                <w:b w:val="0"/>
                <w:bCs/>
                <w:color w:val="auto"/>
                <w:kern w:val="0"/>
                <w:sz w:val="24"/>
                <w:highlight w:val="none"/>
              </w:rPr>
              <w:t>×</w:t>
            </w:r>
            <w:r>
              <w:rPr>
                <w:rFonts w:hint="eastAsia"/>
                <w:b w:val="0"/>
                <w:bCs/>
                <w:color w:val="auto"/>
                <w:kern w:val="0"/>
                <w:sz w:val="24"/>
                <w:highlight w:val="none"/>
              </w:rPr>
              <w:t>1700</w:t>
            </w:r>
            <w:r>
              <w:rPr>
                <w:b w:val="0"/>
                <w:bCs/>
                <w:color w:val="auto"/>
                <w:kern w:val="0"/>
                <w:sz w:val="24"/>
                <w:highlight w:val="none"/>
              </w:rPr>
              <w:t>mm</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2450</w:t>
            </w:r>
            <w:r>
              <w:rPr>
                <w:b w:val="0"/>
                <w:bCs/>
                <w:color w:val="auto"/>
                <w:kern w:val="0"/>
                <w:sz w:val="24"/>
                <w:highlight w:val="none"/>
              </w:rPr>
              <w:t>mm</w:t>
            </w:r>
            <w:r>
              <w:rPr>
                <w:rFonts w:hint="eastAsia"/>
                <w:b w:val="0"/>
                <w:bCs/>
                <w:color w:val="auto"/>
                <w:kern w:val="0"/>
                <w:sz w:val="24"/>
                <w:highlight w:val="none"/>
              </w:rPr>
              <w:t>、Φ450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w:t>
            </w:r>
            <w:r>
              <w:rPr>
                <w:rFonts w:hint="eastAsia"/>
                <w:b w:val="0"/>
                <w:bCs/>
                <w:color w:val="auto"/>
                <w:kern w:val="0"/>
                <w:sz w:val="24"/>
                <w:highlight w:val="none"/>
              </w:rPr>
              <w:t>m、Φ480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74">
            <w:pPr>
              <w:widowControl/>
              <w:numPr>
                <w:ilvl w:val="1"/>
                <w:numId w:val="13"/>
              </w:numPr>
              <w:spacing w:line="0" w:lineRule="atLeast"/>
              <w:contextualSpacing/>
              <w:jc w:val="left"/>
              <w:rPr>
                <w:b w:val="0"/>
                <w:bCs/>
                <w:color w:val="auto"/>
                <w:kern w:val="0"/>
                <w:sz w:val="24"/>
                <w:highlight w:val="none"/>
              </w:rPr>
            </w:pPr>
            <w:r>
              <w:rPr>
                <w:rFonts w:hint="eastAsia"/>
                <w:b w:val="0"/>
                <w:bCs/>
                <w:color w:val="auto"/>
                <w:kern w:val="0"/>
                <w:sz w:val="24"/>
                <w:highlight w:val="none"/>
              </w:rPr>
              <w:t>带氦气冷却功能的坩埚：Φ300</w:t>
            </w:r>
            <w:r>
              <w:rPr>
                <w:b w:val="0"/>
                <w:bCs/>
                <w:color w:val="auto"/>
                <w:kern w:val="0"/>
                <w:sz w:val="24"/>
                <w:highlight w:val="none"/>
              </w:rPr>
              <w:t>×</w:t>
            </w:r>
            <w:r>
              <w:rPr>
                <w:rFonts w:hint="eastAsia"/>
                <w:b w:val="0"/>
                <w:bCs/>
                <w:color w:val="auto"/>
                <w:kern w:val="0"/>
                <w:sz w:val="24"/>
                <w:highlight w:val="none"/>
              </w:rPr>
              <w:t>1200</w:t>
            </w:r>
            <w:r>
              <w:rPr>
                <w:b w:val="0"/>
                <w:bCs/>
                <w:color w:val="auto"/>
                <w:kern w:val="0"/>
                <w:sz w:val="24"/>
                <w:highlight w:val="none"/>
              </w:rPr>
              <w:t>mm、</w:t>
            </w:r>
            <w:r>
              <w:rPr>
                <w:rFonts w:hint="eastAsia"/>
                <w:b w:val="0"/>
                <w:bCs/>
                <w:color w:val="auto"/>
                <w:kern w:val="0"/>
                <w:sz w:val="24"/>
                <w:highlight w:val="none"/>
              </w:rPr>
              <w:t>Φ360</w:t>
            </w:r>
            <w:r>
              <w:rPr>
                <w:b w:val="0"/>
                <w:bCs/>
                <w:color w:val="auto"/>
                <w:kern w:val="0"/>
                <w:sz w:val="24"/>
                <w:highlight w:val="none"/>
              </w:rPr>
              <w:t>×</w:t>
            </w:r>
            <w:r>
              <w:rPr>
                <w:rFonts w:hint="eastAsia"/>
                <w:b w:val="0"/>
                <w:bCs/>
                <w:color w:val="auto"/>
                <w:kern w:val="0"/>
                <w:sz w:val="24"/>
                <w:highlight w:val="none"/>
              </w:rPr>
              <w:t>1700</w:t>
            </w:r>
            <w:r>
              <w:rPr>
                <w:b w:val="0"/>
                <w:bCs/>
                <w:color w:val="auto"/>
                <w:kern w:val="0"/>
                <w:sz w:val="24"/>
                <w:highlight w:val="none"/>
              </w:rPr>
              <w:t>mm</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r>
              <w:rPr>
                <w:rFonts w:hint="eastAsia"/>
                <w:b w:val="0"/>
                <w:bCs/>
                <w:color w:val="auto"/>
                <w:kern w:val="0"/>
                <w:sz w:val="24"/>
                <w:highlight w:val="none"/>
              </w:rPr>
              <w:t>、Φ400</w:t>
            </w:r>
            <w:r>
              <w:rPr>
                <w:b w:val="0"/>
                <w:bCs/>
                <w:color w:val="auto"/>
                <w:kern w:val="0"/>
                <w:sz w:val="24"/>
                <w:highlight w:val="none"/>
              </w:rPr>
              <w:t>×</w:t>
            </w:r>
            <w:r>
              <w:rPr>
                <w:rFonts w:hint="eastAsia"/>
                <w:b w:val="0"/>
                <w:bCs/>
                <w:color w:val="auto"/>
                <w:kern w:val="0"/>
                <w:sz w:val="24"/>
                <w:highlight w:val="none"/>
              </w:rPr>
              <w:t>2450</w:t>
            </w:r>
            <w:r>
              <w:rPr>
                <w:b w:val="0"/>
                <w:bCs/>
                <w:color w:val="auto"/>
                <w:kern w:val="0"/>
                <w:sz w:val="24"/>
                <w:highlight w:val="none"/>
              </w:rPr>
              <w:t>mm</w:t>
            </w:r>
            <w:r>
              <w:rPr>
                <w:rFonts w:hint="eastAsia"/>
                <w:b w:val="0"/>
                <w:bCs/>
                <w:color w:val="auto"/>
                <w:kern w:val="0"/>
                <w:sz w:val="24"/>
                <w:highlight w:val="none"/>
              </w:rPr>
              <w:t>、Φ450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w:t>
            </w:r>
            <w:r>
              <w:rPr>
                <w:rFonts w:hint="eastAsia"/>
                <w:b w:val="0"/>
                <w:bCs/>
                <w:color w:val="auto"/>
                <w:kern w:val="0"/>
                <w:sz w:val="24"/>
                <w:highlight w:val="none"/>
              </w:rPr>
              <w:t>m、Φ480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r>
              <w:rPr>
                <w:rFonts w:hint="eastAsia"/>
                <w:b w:val="0"/>
                <w:bCs/>
                <w:color w:val="auto"/>
                <w:kern w:val="0"/>
                <w:sz w:val="24"/>
                <w:highlight w:val="none"/>
              </w:rPr>
              <w:t>。</w:t>
            </w:r>
          </w:p>
          <w:p w14:paraId="7F034675">
            <w:pPr>
              <w:widowControl/>
              <w:spacing w:line="0" w:lineRule="atLeast"/>
              <w:contextualSpacing/>
              <w:jc w:val="left"/>
              <w:rPr>
                <w:b w:val="0"/>
                <w:bCs/>
                <w:color w:val="auto"/>
                <w:kern w:val="0"/>
                <w:sz w:val="24"/>
                <w:highlight w:val="none"/>
              </w:rPr>
            </w:pPr>
            <w:r>
              <w:rPr>
                <w:b w:val="0"/>
                <w:bCs/>
                <w:color w:val="auto"/>
                <w:kern w:val="0"/>
                <w:sz w:val="24"/>
                <w:highlight w:val="none"/>
              </w:rPr>
              <w:t>2、</w:t>
            </w:r>
            <w:r>
              <w:rPr>
                <w:rFonts w:hint="eastAsia"/>
                <w:b w:val="0"/>
                <w:bCs/>
                <w:color w:val="auto"/>
                <w:kern w:val="0"/>
                <w:sz w:val="24"/>
                <w:highlight w:val="none"/>
              </w:rPr>
              <w:t>甲方</w:t>
            </w:r>
            <w:r>
              <w:rPr>
                <w:b w:val="0"/>
                <w:bCs/>
                <w:color w:val="auto"/>
                <w:kern w:val="0"/>
                <w:sz w:val="24"/>
                <w:highlight w:val="none"/>
              </w:rPr>
              <w:t>设计本工艺方案时，炉头内可使用空间高度按</w:t>
            </w:r>
            <w:r>
              <w:rPr>
                <w:rFonts w:hint="eastAsia"/>
                <w:b w:val="0"/>
                <w:bCs/>
                <w:color w:val="auto"/>
                <w:kern w:val="0"/>
                <w:sz w:val="24"/>
                <w:highlight w:val="none"/>
              </w:rPr>
              <w:t>1500</w:t>
            </w:r>
            <w:r>
              <w:rPr>
                <w:b w:val="0"/>
                <w:bCs/>
                <w:color w:val="auto"/>
                <w:kern w:val="0"/>
                <w:sz w:val="24"/>
                <w:highlight w:val="none"/>
              </w:rPr>
              <w:t>mm</w:t>
            </w:r>
            <w:r>
              <w:rPr>
                <w:rFonts w:hint="eastAsia"/>
                <w:b w:val="0"/>
                <w:bCs/>
                <w:color w:val="auto"/>
                <w:kern w:val="0"/>
                <w:sz w:val="24"/>
                <w:highlight w:val="none"/>
              </w:rPr>
              <w:t>，炉头抬升高度按1540计算，电极杆行程按1500计算</w:t>
            </w:r>
            <w:r>
              <w:rPr>
                <w:b w:val="0"/>
                <w:bCs/>
                <w:color w:val="auto"/>
                <w:kern w:val="0"/>
                <w:sz w:val="24"/>
                <w:highlight w:val="none"/>
              </w:rPr>
              <w:t>。不影响投标方对这些结构尺寸的设计。</w:t>
            </w:r>
          </w:p>
        </w:tc>
      </w:tr>
    </w:tbl>
    <w:p w14:paraId="7F034677">
      <w:pPr>
        <w:autoSpaceDN w:val="0"/>
        <w:rPr>
          <w:b w:val="0"/>
          <w:bCs/>
          <w:color w:val="auto"/>
          <w:sz w:val="18"/>
          <w:szCs w:val="18"/>
          <w:highlight w:val="none"/>
        </w:rPr>
        <w:sectPr>
          <w:headerReference r:id="rId10" w:type="default"/>
          <w:footerReference r:id="rId11" w:type="default"/>
          <w:pgSz w:w="16838" w:h="11906" w:orient="landscape"/>
          <w:pgMar w:top="720" w:right="720" w:bottom="720" w:left="720" w:header="0" w:footer="567" w:gutter="0"/>
          <w:pgNumType w:start="1"/>
          <w:cols w:space="720" w:num="1"/>
          <w:docGrid w:type="lines" w:linePitch="312" w:charSpace="0"/>
        </w:sectPr>
      </w:pPr>
    </w:p>
    <w:p w14:paraId="7F034678">
      <w:pPr>
        <w:autoSpaceDN w:val="0"/>
        <w:rPr>
          <w:b w:val="0"/>
          <w:bCs/>
          <w:color w:val="auto"/>
          <w:sz w:val="18"/>
          <w:szCs w:val="18"/>
          <w:highlight w:val="none"/>
        </w:rPr>
      </w:pPr>
    </w:p>
    <w:p w14:paraId="7F034679">
      <w:pPr>
        <w:spacing w:line="0" w:lineRule="atLeast"/>
        <w:jc w:val="center"/>
        <w:rPr>
          <w:b w:val="0"/>
          <w:bCs/>
          <w:color w:val="auto"/>
          <w:spacing w:val="10"/>
          <w:szCs w:val="21"/>
          <w:highlight w:val="none"/>
        </w:rPr>
      </w:pPr>
      <w:r>
        <w:rPr>
          <w:b w:val="0"/>
          <w:bCs/>
          <w:color w:val="auto"/>
          <w:spacing w:val="10"/>
          <w:szCs w:val="21"/>
          <w:highlight w:val="none"/>
        </w:rPr>
        <w:t>附</w:t>
      </w:r>
      <w:r>
        <w:rPr>
          <w:rFonts w:hint="eastAsia"/>
          <w:b w:val="0"/>
          <w:bCs/>
          <w:color w:val="auto"/>
          <w:spacing w:val="10"/>
          <w:szCs w:val="21"/>
          <w:highlight w:val="none"/>
        </w:rPr>
        <w:t>录2</w:t>
      </w:r>
      <w:r>
        <w:rPr>
          <w:b w:val="0"/>
          <w:bCs/>
          <w:color w:val="auto"/>
          <w:spacing w:val="10"/>
          <w:szCs w:val="21"/>
          <w:highlight w:val="none"/>
        </w:rPr>
        <w:t>—</w:t>
      </w:r>
      <w:r>
        <w:rPr>
          <w:rFonts w:hint="eastAsia"/>
          <w:b w:val="0"/>
          <w:bCs/>
          <w:color w:val="auto"/>
          <w:spacing w:val="10"/>
          <w:szCs w:val="21"/>
          <w:highlight w:val="none"/>
        </w:rPr>
        <w:t>300kg真空自耗电弧炉</w:t>
      </w:r>
      <w:r>
        <w:rPr>
          <w:b w:val="0"/>
          <w:bCs/>
          <w:color w:val="auto"/>
          <w:spacing w:val="10"/>
          <w:szCs w:val="21"/>
          <w:highlight w:val="none"/>
        </w:rPr>
        <w:t>熔炼技术方案</w:t>
      </w:r>
    </w:p>
    <w:tbl>
      <w:tblPr>
        <w:tblStyle w:val="46"/>
        <w:tblW w:w="15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2777"/>
        <w:gridCol w:w="3521"/>
        <w:gridCol w:w="3521"/>
        <w:gridCol w:w="1873"/>
        <w:gridCol w:w="2437"/>
      </w:tblGrid>
      <w:tr w14:paraId="7F03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745" w:type="dxa"/>
            <w:vAlign w:val="center"/>
          </w:tcPr>
          <w:p w14:paraId="7F03467A">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材料</w:t>
            </w:r>
          </w:p>
        </w:tc>
        <w:tc>
          <w:tcPr>
            <w:tcW w:w="2777" w:type="dxa"/>
            <w:vAlign w:val="center"/>
          </w:tcPr>
          <w:p w14:paraId="7F03467B">
            <w:pPr>
              <w:widowControl/>
              <w:spacing w:line="0" w:lineRule="atLeast"/>
              <w:contextualSpacing/>
              <w:jc w:val="center"/>
              <w:rPr>
                <w:b w:val="0"/>
                <w:bCs/>
                <w:color w:val="auto"/>
                <w:kern w:val="0"/>
                <w:sz w:val="24"/>
                <w:highlight w:val="none"/>
              </w:rPr>
            </w:pPr>
            <w:r>
              <w:rPr>
                <w:b w:val="0"/>
                <w:bCs/>
                <w:color w:val="auto"/>
                <w:kern w:val="0"/>
                <w:sz w:val="24"/>
                <w:highlight w:val="none"/>
              </w:rPr>
              <w:t>电极尺寸</w:t>
            </w:r>
          </w:p>
        </w:tc>
        <w:tc>
          <w:tcPr>
            <w:tcW w:w="3521" w:type="dxa"/>
            <w:vAlign w:val="center"/>
          </w:tcPr>
          <w:p w14:paraId="7F03467C">
            <w:pPr>
              <w:widowControl/>
              <w:spacing w:line="0" w:lineRule="atLeast"/>
              <w:contextualSpacing/>
              <w:jc w:val="center"/>
              <w:rPr>
                <w:b w:val="0"/>
                <w:bCs/>
                <w:color w:val="auto"/>
                <w:kern w:val="0"/>
                <w:sz w:val="24"/>
                <w:highlight w:val="none"/>
              </w:rPr>
            </w:pPr>
            <w:r>
              <w:rPr>
                <w:b w:val="0"/>
                <w:bCs/>
                <w:color w:val="auto"/>
                <w:kern w:val="0"/>
                <w:sz w:val="24"/>
                <w:highlight w:val="none"/>
              </w:rPr>
              <w:t>一次熔炼</w:t>
            </w:r>
          </w:p>
        </w:tc>
        <w:tc>
          <w:tcPr>
            <w:tcW w:w="3521" w:type="dxa"/>
            <w:vAlign w:val="center"/>
          </w:tcPr>
          <w:p w14:paraId="7F03467D">
            <w:pPr>
              <w:widowControl/>
              <w:spacing w:line="0" w:lineRule="atLeast"/>
              <w:contextualSpacing/>
              <w:jc w:val="center"/>
              <w:rPr>
                <w:b w:val="0"/>
                <w:bCs/>
                <w:color w:val="auto"/>
                <w:kern w:val="0"/>
                <w:sz w:val="24"/>
                <w:highlight w:val="none"/>
              </w:rPr>
            </w:pPr>
            <w:r>
              <w:rPr>
                <w:b w:val="0"/>
                <w:bCs/>
                <w:color w:val="auto"/>
                <w:kern w:val="0"/>
                <w:sz w:val="24"/>
                <w:highlight w:val="none"/>
              </w:rPr>
              <w:t>二次熔炼</w:t>
            </w:r>
          </w:p>
        </w:tc>
        <w:tc>
          <w:tcPr>
            <w:tcW w:w="1873" w:type="dxa"/>
            <w:vAlign w:val="center"/>
          </w:tcPr>
          <w:p w14:paraId="7F03467E">
            <w:pPr>
              <w:widowControl/>
              <w:spacing w:line="0" w:lineRule="atLeast"/>
              <w:contextualSpacing/>
              <w:jc w:val="center"/>
              <w:rPr>
                <w:b w:val="0"/>
                <w:bCs/>
                <w:color w:val="auto"/>
                <w:kern w:val="0"/>
                <w:sz w:val="24"/>
                <w:highlight w:val="none"/>
              </w:rPr>
            </w:pPr>
            <w:r>
              <w:rPr>
                <w:b w:val="0"/>
                <w:bCs/>
                <w:color w:val="auto"/>
                <w:kern w:val="0"/>
                <w:sz w:val="24"/>
                <w:highlight w:val="none"/>
              </w:rPr>
              <w:t>成品锭型</w:t>
            </w:r>
          </w:p>
        </w:tc>
        <w:tc>
          <w:tcPr>
            <w:tcW w:w="2437" w:type="dxa"/>
            <w:vAlign w:val="center"/>
          </w:tcPr>
          <w:p w14:paraId="7F03467F">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备注</w:t>
            </w:r>
          </w:p>
        </w:tc>
      </w:tr>
      <w:tr w14:paraId="7F03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tcPr>
          <w:p w14:paraId="7F034681">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材  料密度：</w:t>
            </w:r>
          </w:p>
          <w:p w14:paraId="7F034682">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4.5g/cm</w:t>
            </w:r>
            <w:r>
              <w:rPr>
                <w:rFonts w:hint="eastAsia"/>
                <w:b w:val="0"/>
                <w:bCs/>
                <w:color w:val="auto"/>
                <w:kern w:val="0"/>
                <w:sz w:val="24"/>
                <w:highlight w:val="none"/>
                <w:vertAlign w:val="superscript"/>
              </w:rPr>
              <w:t>3</w:t>
            </w:r>
          </w:p>
          <w:p w14:paraId="7F034683">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电极块密度：</w:t>
            </w:r>
          </w:p>
          <w:p w14:paraId="7F034684">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3.45g/cm</w:t>
            </w:r>
            <w:r>
              <w:rPr>
                <w:rFonts w:hint="eastAsia"/>
                <w:b w:val="0"/>
                <w:bCs/>
                <w:color w:val="auto"/>
                <w:kern w:val="0"/>
                <w:sz w:val="24"/>
                <w:highlight w:val="none"/>
                <w:vertAlign w:val="superscript"/>
              </w:rPr>
              <w:t>3</w:t>
            </w:r>
          </w:p>
          <w:p w14:paraId="7F034685">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86">
            <w:pPr>
              <w:widowControl/>
              <w:spacing w:line="0" w:lineRule="atLeast"/>
              <w:ind w:firstLine="240" w:firstLineChars="100"/>
              <w:contextualSpacing/>
              <w:jc w:val="left"/>
              <w:rPr>
                <w:rFonts w:eastAsia="等线"/>
                <w:b w:val="0"/>
                <w:bCs/>
                <w:color w:val="auto"/>
                <w:kern w:val="0"/>
                <w:sz w:val="24"/>
                <w:highlight w:val="none"/>
                <w:vertAlign w:val="superscript"/>
              </w:rPr>
            </w:pPr>
            <w:r>
              <w:rPr>
                <w:rFonts w:hint="eastAsia"/>
                <w:b w:val="0"/>
                <w:bCs/>
                <w:color w:val="auto"/>
                <w:kern w:val="0"/>
                <w:sz w:val="24"/>
                <w:highlight w:val="none"/>
              </w:rPr>
              <w:t>187.2kg</w:t>
            </w:r>
          </w:p>
        </w:tc>
        <w:tc>
          <w:tcPr>
            <w:tcW w:w="2777" w:type="dxa"/>
          </w:tcPr>
          <w:p w14:paraId="7F034687">
            <w:pPr>
              <w:widowControl/>
              <w:spacing w:line="0" w:lineRule="atLeast"/>
              <w:contextualSpacing/>
              <w:jc w:val="left"/>
              <w:rPr>
                <w:rFonts w:eastAsia="等线"/>
                <w:b w:val="0"/>
                <w:bCs/>
                <w:color w:val="auto"/>
                <w:kern w:val="0"/>
                <w:sz w:val="24"/>
                <w:highlight w:val="none"/>
              </w:rPr>
            </w:pPr>
            <w:r>
              <w:rPr>
                <w:rFonts w:hint="eastAsia"/>
                <w:b w:val="0"/>
                <w:bCs/>
                <w:color w:val="auto"/>
                <w:kern w:val="0"/>
                <w:sz w:val="16"/>
                <w:szCs w:val="16"/>
                <w:highlight w:val="none"/>
              </w:rPr>
              <w:t>（11.7kg/块×4块/支，4支）</w:t>
            </w:r>
          </w:p>
          <w:p w14:paraId="7F034688">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89">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110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p>
          <w:p w14:paraId="7F03468A">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8B">
            <w:pPr>
              <w:widowControl/>
              <w:spacing w:line="0" w:lineRule="atLeast"/>
              <w:ind w:firstLine="240" w:firstLineChars="100"/>
              <w:contextualSpacing/>
              <w:jc w:val="left"/>
              <w:rPr>
                <w:rFonts w:eastAsia="等线"/>
                <w:b w:val="0"/>
                <w:bCs/>
                <w:color w:val="auto"/>
                <w:kern w:val="0"/>
                <w:szCs w:val="21"/>
                <w:highlight w:val="none"/>
              </w:rPr>
            </w:pPr>
            <w:r>
              <w:rPr>
                <w:rFonts w:hint="eastAsia"/>
                <w:b w:val="0"/>
                <w:bCs/>
                <w:color w:val="auto"/>
                <w:kern w:val="0"/>
                <w:sz w:val="24"/>
                <w:highlight w:val="none"/>
              </w:rPr>
              <w:t>46.8</w:t>
            </w:r>
            <w:r>
              <w:rPr>
                <w:b w:val="0"/>
                <w:bCs/>
                <w:color w:val="auto"/>
                <w:kern w:val="0"/>
                <w:sz w:val="24"/>
                <w:highlight w:val="none"/>
              </w:rPr>
              <w:t>Kg</w:t>
            </w:r>
          </w:p>
        </w:tc>
        <w:tc>
          <w:tcPr>
            <w:tcW w:w="3521" w:type="dxa"/>
          </w:tcPr>
          <w:p w14:paraId="7F03468C">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8D">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8E">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Φ160</w:t>
            </w:r>
            <w:r>
              <w:rPr>
                <w:b w:val="0"/>
                <w:bCs/>
                <w:color w:val="auto"/>
                <w:kern w:val="0"/>
                <w:sz w:val="24"/>
                <w:highlight w:val="none"/>
              </w:rPr>
              <w:t>×</w:t>
            </w:r>
            <w:r>
              <w:rPr>
                <w:rFonts w:hint="eastAsia"/>
                <w:b w:val="0"/>
                <w:bCs/>
                <w:color w:val="auto"/>
                <w:kern w:val="0"/>
                <w:sz w:val="24"/>
                <w:highlight w:val="none"/>
              </w:rPr>
              <w:t>1000</w:t>
            </w:r>
            <w:r>
              <w:rPr>
                <w:b w:val="0"/>
                <w:bCs/>
                <w:color w:val="auto"/>
                <w:kern w:val="0"/>
                <w:sz w:val="24"/>
                <w:highlight w:val="none"/>
              </w:rPr>
              <w:t>mm</w:t>
            </w:r>
          </w:p>
          <w:p w14:paraId="7F03468F">
            <w:pPr>
              <w:widowControl/>
              <w:spacing w:line="0" w:lineRule="atLeast"/>
              <w:contextualSpacing/>
              <w:rPr>
                <w:rFonts w:eastAsia="等线"/>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（4炉）</w:t>
            </w:r>
          </w:p>
          <w:p w14:paraId="7F034690">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Φ160</w:t>
            </w:r>
            <w:r>
              <w:rPr>
                <w:b w:val="0"/>
                <w:bCs/>
                <w:color w:val="auto"/>
                <w:kern w:val="0"/>
                <w:sz w:val="24"/>
                <w:highlight w:val="none"/>
              </w:rPr>
              <w:t>×</w:t>
            </w:r>
            <w:r>
              <w:rPr>
                <w:rFonts w:hint="eastAsia"/>
                <w:b w:val="0"/>
                <w:bCs/>
                <w:color w:val="auto"/>
                <w:kern w:val="0"/>
                <w:sz w:val="24"/>
                <w:highlight w:val="none"/>
              </w:rPr>
              <w:t>518</w:t>
            </w:r>
            <w:r>
              <w:rPr>
                <w:b w:val="0"/>
                <w:bCs/>
                <w:color w:val="auto"/>
                <w:kern w:val="0"/>
                <w:sz w:val="24"/>
                <w:highlight w:val="none"/>
              </w:rPr>
              <w:t>mm</w:t>
            </w:r>
          </w:p>
          <w:p w14:paraId="7F034691">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92">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Min：422mm</w:t>
            </w:r>
          </w:p>
          <w:p w14:paraId="7F034693">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Max：840mm</w:t>
            </w:r>
          </w:p>
        </w:tc>
        <w:tc>
          <w:tcPr>
            <w:tcW w:w="3521" w:type="dxa"/>
          </w:tcPr>
          <w:p w14:paraId="7F034694">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Φ160</w:t>
            </w:r>
            <w:r>
              <w:rPr>
                <w:b w:val="0"/>
                <w:bCs/>
                <w:color w:val="auto"/>
                <w:kern w:val="0"/>
                <w:sz w:val="24"/>
                <w:highlight w:val="none"/>
              </w:rPr>
              <w:t>×</w:t>
            </w:r>
            <w:r>
              <w:rPr>
                <w:rFonts w:hint="eastAsia"/>
                <w:b w:val="0"/>
                <w:bCs/>
                <w:color w:val="auto"/>
                <w:kern w:val="0"/>
                <w:sz w:val="24"/>
                <w:highlight w:val="none"/>
              </w:rPr>
              <w:t>2070</w:t>
            </w:r>
            <w:r>
              <w:rPr>
                <w:b w:val="0"/>
                <w:bCs/>
                <w:color w:val="auto"/>
                <w:kern w:val="0"/>
                <w:sz w:val="24"/>
                <w:highlight w:val="none"/>
              </w:rPr>
              <w:t>mm</w:t>
            </w:r>
          </w:p>
          <w:p w14:paraId="7F034695">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187.2</w:t>
            </w:r>
            <w:r>
              <w:rPr>
                <w:b w:val="0"/>
                <w:bCs/>
                <w:color w:val="auto"/>
                <w:kern w:val="0"/>
                <w:sz w:val="24"/>
                <w:highlight w:val="none"/>
              </w:rPr>
              <w:t>Kg</w:t>
            </w:r>
          </w:p>
          <w:p w14:paraId="7F034696">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1500</w:t>
            </w:r>
            <w:r>
              <w:rPr>
                <w:b w:val="0"/>
                <w:bCs/>
                <w:color w:val="auto"/>
                <w:kern w:val="0"/>
                <w:sz w:val="24"/>
                <w:highlight w:val="none"/>
              </w:rPr>
              <w:t>mm</w:t>
            </w:r>
          </w:p>
          <w:p w14:paraId="7F034697">
            <w:pPr>
              <w:widowControl/>
              <w:spacing w:line="0" w:lineRule="atLeast"/>
              <w:contextualSpacing/>
              <w:rPr>
                <w:rFonts w:eastAsia="等线"/>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98">
            <w:pPr>
              <w:widowControl/>
              <w:spacing w:line="0" w:lineRule="atLeast"/>
              <w:contextualSpacing/>
              <w:rPr>
                <w:b w:val="0"/>
                <w:bCs/>
                <w:color w:val="auto"/>
                <w:kern w:val="0"/>
                <w:sz w:val="24"/>
                <w:highlight w:val="none"/>
              </w:rPr>
            </w:pP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1095</w:t>
            </w:r>
            <w:r>
              <w:rPr>
                <w:b w:val="0"/>
                <w:bCs/>
                <w:color w:val="auto"/>
                <w:kern w:val="0"/>
                <w:sz w:val="24"/>
                <w:highlight w:val="none"/>
              </w:rPr>
              <w:t>mm</w:t>
            </w:r>
          </w:p>
          <w:p w14:paraId="7F034699">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9A">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Min：345mm</w:t>
            </w:r>
          </w:p>
          <w:p w14:paraId="7F03469B">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Max：870mm</w:t>
            </w:r>
          </w:p>
        </w:tc>
        <w:tc>
          <w:tcPr>
            <w:tcW w:w="1873" w:type="dxa"/>
            <w:vAlign w:val="center"/>
          </w:tcPr>
          <w:p w14:paraId="7F03469C">
            <w:pPr>
              <w:widowControl/>
              <w:spacing w:line="0" w:lineRule="atLeast"/>
              <w:contextualSpacing/>
              <w:jc w:val="center"/>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220</w:t>
            </w:r>
            <w:r>
              <w:rPr>
                <w:b w:val="0"/>
                <w:bCs/>
                <w:color w:val="auto"/>
                <w:kern w:val="0"/>
                <w:sz w:val="24"/>
                <w:highlight w:val="none"/>
              </w:rPr>
              <w:t>mm</w:t>
            </w:r>
          </w:p>
          <w:p w14:paraId="7F03469D">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两次锭</w:t>
            </w:r>
          </w:p>
        </w:tc>
        <w:tc>
          <w:tcPr>
            <w:tcW w:w="2437" w:type="dxa"/>
            <w:vMerge w:val="restart"/>
            <w:vAlign w:val="center"/>
          </w:tcPr>
          <w:p w14:paraId="7F03469E">
            <w:pPr>
              <w:widowControl/>
              <w:spacing w:line="0" w:lineRule="atLeast"/>
              <w:contextualSpacing/>
              <w:rPr>
                <w:b w:val="0"/>
                <w:bCs/>
                <w:color w:val="auto"/>
                <w:kern w:val="0"/>
                <w:sz w:val="24"/>
                <w:highlight w:val="none"/>
              </w:rPr>
            </w:pPr>
            <w:r>
              <w:rPr>
                <w:rFonts w:hint="eastAsia"/>
                <w:b w:val="0"/>
                <w:bCs/>
                <w:color w:val="auto"/>
                <w:kern w:val="0"/>
                <w:sz w:val="24"/>
                <w:highlight w:val="none"/>
              </w:rPr>
              <w:t>最终成品锭：</w:t>
            </w:r>
          </w:p>
          <w:p w14:paraId="7F03469F">
            <w:pPr>
              <w:widowControl/>
              <w:spacing w:line="0" w:lineRule="atLeast"/>
              <w:ind w:firstLine="480" w:firstLineChars="200"/>
              <w:contextualSpacing/>
              <w:rPr>
                <w:rFonts w:eastAsia="等线"/>
                <w:b w:val="0"/>
                <w:bCs/>
                <w:color w:val="auto"/>
                <w:kern w:val="0"/>
                <w:sz w:val="24"/>
                <w:highlight w:val="none"/>
              </w:rPr>
            </w:pPr>
            <w:r>
              <w:rPr>
                <w:rFonts w:hint="eastAsia"/>
                <w:b w:val="0"/>
                <w:bCs/>
                <w:color w:val="auto"/>
                <w:kern w:val="0"/>
                <w:sz w:val="24"/>
                <w:highlight w:val="none"/>
              </w:rPr>
              <w:t>切除冒口按100mm计算，不扒皮。</w:t>
            </w:r>
          </w:p>
        </w:tc>
      </w:tr>
      <w:tr w14:paraId="7F034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45" w:type="dxa"/>
          </w:tcPr>
          <w:p w14:paraId="7F0346A1">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材  料密度：</w:t>
            </w:r>
          </w:p>
          <w:p w14:paraId="7F0346A2">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4.5g/cm</w:t>
            </w:r>
            <w:r>
              <w:rPr>
                <w:rFonts w:hint="eastAsia"/>
                <w:b w:val="0"/>
                <w:bCs/>
                <w:color w:val="auto"/>
                <w:kern w:val="0"/>
                <w:sz w:val="24"/>
                <w:highlight w:val="none"/>
                <w:vertAlign w:val="superscript"/>
              </w:rPr>
              <w:t>3</w:t>
            </w:r>
          </w:p>
          <w:p w14:paraId="7F0346A3">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电极块密度：</w:t>
            </w:r>
          </w:p>
          <w:p w14:paraId="7F0346A4">
            <w:pPr>
              <w:widowControl/>
              <w:spacing w:line="0" w:lineRule="atLeast"/>
              <w:ind w:firstLine="240" w:firstLineChars="100"/>
              <w:contextualSpacing/>
              <w:jc w:val="left"/>
              <w:rPr>
                <w:b w:val="0"/>
                <w:bCs/>
                <w:color w:val="auto"/>
                <w:kern w:val="0"/>
                <w:sz w:val="24"/>
                <w:highlight w:val="none"/>
                <w:vertAlign w:val="superscript"/>
              </w:rPr>
            </w:pPr>
            <w:r>
              <w:rPr>
                <w:rFonts w:hint="eastAsia"/>
                <w:b w:val="0"/>
                <w:bCs/>
                <w:color w:val="auto"/>
                <w:kern w:val="0"/>
                <w:sz w:val="24"/>
                <w:highlight w:val="none"/>
              </w:rPr>
              <w:t>3.45g/cm</w:t>
            </w:r>
            <w:r>
              <w:rPr>
                <w:rFonts w:hint="eastAsia"/>
                <w:b w:val="0"/>
                <w:bCs/>
                <w:color w:val="auto"/>
                <w:kern w:val="0"/>
                <w:sz w:val="24"/>
                <w:highlight w:val="none"/>
                <w:vertAlign w:val="superscript"/>
              </w:rPr>
              <w:t>3</w:t>
            </w:r>
          </w:p>
          <w:p w14:paraId="7F0346A5">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A6">
            <w:pPr>
              <w:widowControl/>
              <w:spacing w:line="0" w:lineRule="atLeast"/>
              <w:ind w:firstLine="240" w:firstLineChars="100"/>
              <w:contextualSpacing/>
              <w:jc w:val="left"/>
              <w:rPr>
                <w:rFonts w:eastAsia="等线"/>
                <w:b w:val="0"/>
                <w:bCs/>
                <w:color w:val="auto"/>
                <w:kern w:val="0"/>
                <w:sz w:val="24"/>
                <w:highlight w:val="none"/>
                <w:vertAlign w:val="superscript"/>
              </w:rPr>
            </w:pPr>
            <w:r>
              <w:rPr>
                <w:rFonts w:hint="eastAsia"/>
                <w:b w:val="0"/>
                <w:bCs/>
                <w:color w:val="auto"/>
                <w:kern w:val="0"/>
                <w:sz w:val="24"/>
                <w:highlight w:val="none"/>
              </w:rPr>
              <w:t>370kg</w:t>
            </w:r>
          </w:p>
        </w:tc>
        <w:tc>
          <w:tcPr>
            <w:tcW w:w="2777" w:type="dxa"/>
          </w:tcPr>
          <w:p w14:paraId="7F0346A7">
            <w:pPr>
              <w:widowControl/>
              <w:spacing w:line="0" w:lineRule="atLeast"/>
              <w:contextualSpacing/>
              <w:jc w:val="left"/>
              <w:rPr>
                <w:rFonts w:eastAsia="等线"/>
                <w:b w:val="0"/>
                <w:bCs/>
                <w:color w:val="auto"/>
                <w:kern w:val="0"/>
                <w:sz w:val="24"/>
                <w:highlight w:val="none"/>
              </w:rPr>
            </w:pPr>
            <w:r>
              <w:rPr>
                <w:rFonts w:hint="eastAsia"/>
                <w:b w:val="0"/>
                <w:bCs/>
                <w:color w:val="auto"/>
                <w:kern w:val="0"/>
                <w:sz w:val="16"/>
                <w:szCs w:val="16"/>
                <w:highlight w:val="none"/>
              </w:rPr>
              <w:t>（18.5kg/块×5块/支，4支）</w:t>
            </w:r>
          </w:p>
          <w:p w14:paraId="7F0346A8">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A9">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160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AA">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AB">
            <w:pPr>
              <w:widowControl/>
              <w:spacing w:line="0" w:lineRule="atLeast"/>
              <w:ind w:firstLine="240" w:firstLineChars="100"/>
              <w:contextualSpacing/>
              <w:jc w:val="left"/>
              <w:rPr>
                <w:rFonts w:eastAsia="等线"/>
                <w:b w:val="0"/>
                <w:bCs/>
                <w:color w:val="auto"/>
                <w:kern w:val="0"/>
                <w:szCs w:val="21"/>
                <w:highlight w:val="none"/>
              </w:rPr>
            </w:pPr>
            <w:r>
              <w:rPr>
                <w:rFonts w:hint="eastAsia"/>
                <w:b w:val="0"/>
                <w:bCs/>
                <w:color w:val="auto"/>
                <w:kern w:val="0"/>
                <w:sz w:val="24"/>
                <w:highlight w:val="none"/>
              </w:rPr>
              <w:t>92.5</w:t>
            </w:r>
            <w:r>
              <w:rPr>
                <w:b w:val="0"/>
                <w:bCs/>
                <w:color w:val="auto"/>
                <w:kern w:val="0"/>
                <w:sz w:val="24"/>
                <w:highlight w:val="none"/>
              </w:rPr>
              <w:t>Kg</w:t>
            </w:r>
          </w:p>
        </w:tc>
        <w:tc>
          <w:tcPr>
            <w:tcW w:w="3521" w:type="dxa"/>
          </w:tcPr>
          <w:p w14:paraId="7F0346AC">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AD">
            <w:pPr>
              <w:widowControl/>
              <w:spacing w:line="0" w:lineRule="atLeast"/>
              <w:contextualSpacing/>
              <w:rPr>
                <w:b w:val="0"/>
                <w:bCs/>
                <w:color w:val="auto"/>
                <w:kern w:val="0"/>
                <w:sz w:val="24"/>
                <w:highlight w:val="none"/>
              </w:rPr>
            </w:pPr>
            <w:r>
              <w:rPr>
                <w:b w:val="0"/>
                <w:bCs/>
                <w:color w:val="auto"/>
                <w:kern w:val="0"/>
                <w:sz w:val="24"/>
                <w:highlight w:val="none"/>
              </w:rPr>
              <w:t>电极规格：</w:t>
            </w:r>
          </w:p>
          <w:p w14:paraId="7F0346AE">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1500</w:t>
            </w:r>
            <w:r>
              <w:rPr>
                <w:b w:val="0"/>
                <w:bCs/>
                <w:color w:val="auto"/>
                <w:kern w:val="0"/>
                <w:sz w:val="24"/>
                <w:highlight w:val="none"/>
              </w:rPr>
              <w:t>mm</w:t>
            </w:r>
          </w:p>
          <w:p w14:paraId="7F0346AF">
            <w:pPr>
              <w:widowControl/>
              <w:spacing w:line="0" w:lineRule="atLeast"/>
              <w:contextualSpacing/>
              <w:rPr>
                <w:rFonts w:eastAsia="等线"/>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（4炉）</w:t>
            </w:r>
          </w:p>
          <w:p w14:paraId="7F0346B0">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541</w:t>
            </w:r>
            <w:r>
              <w:rPr>
                <w:b w:val="0"/>
                <w:bCs/>
                <w:color w:val="auto"/>
                <w:kern w:val="0"/>
                <w:sz w:val="24"/>
                <w:highlight w:val="none"/>
              </w:rPr>
              <w:t>mm</w:t>
            </w:r>
          </w:p>
          <w:p w14:paraId="7F0346B1">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B2">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Min：899mm</w:t>
            </w:r>
          </w:p>
          <w:p w14:paraId="7F0346B3">
            <w:pPr>
              <w:widowControl/>
              <w:spacing w:line="0" w:lineRule="atLeast"/>
              <w:ind w:firstLine="240" w:firstLineChars="100"/>
              <w:contextualSpacing/>
              <w:rPr>
                <w:rFonts w:eastAsia="等线"/>
                <w:b w:val="0"/>
                <w:bCs/>
                <w:color w:val="auto"/>
                <w:kern w:val="0"/>
                <w:sz w:val="24"/>
                <w:highlight w:val="none"/>
              </w:rPr>
            </w:pPr>
            <w:r>
              <w:rPr>
                <w:rFonts w:hint="eastAsia"/>
                <w:b w:val="0"/>
                <w:bCs/>
                <w:color w:val="auto"/>
                <w:kern w:val="0"/>
                <w:sz w:val="24"/>
                <w:highlight w:val="none"/>
              </w:rPr>
              <w:t>Max：940mm</w:t>
            </w:r>
          </w:p>
        </w:tc>
        <w:tc>
          <w:tcPr>
            <w:tcW w:w="3521" w:type="dxa"/>
          </w:tcPr>
          <w:p w14:paraId="7F0346B4">
            <w:pPr>
              <w:widowControl/>
              <w:spacing w:line="0" w:lineRule="atLeast"/>
              <w:contextualSpacing/>
              <w:rPr>
                <w:b w:val="0"/>
                <w:bCs/>
                <w:color w:val="auto"/>
                <w:kern w:val="0"/>
                <w:sz w:val="24"/>
                <w:highlight w:val="none"/>
              </w:rPr>
            </w:pPr>
            <w:r>
              <w:rPr>
                <w:b w:val="0"/>
                <w:bCs/>
                <w:color w:val="auto"/>
                <w:kern w:val="0"/>
                <w:sz w:val="24"/>
                <w:highlight w:val="none"/>
              </w:rPr>
              <w:t>电极规格：</w:t>
            </w: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2164</w:t>
            </w:r>
            <w:r>
              <w:rPr>
                <w:b w:val="0"/>
                <w:bCs/>
                <w:color w:val="auto"/>
                <w:kern w:val="0"/>
                <w:sz w:val="24"/>
                <w:highlight w:val="none"/>
              </w:rPr>
              <w:t>mm</w:t>
            </w:r>
          </w:p>
          <w:p w14:paraId="7F0346B5">
            <w:pPr>
              <w:widowControl/>
              <w:spacing w:line="0" w:lineRule="atLeast"/>
              <w:contextualSpacing/>
              <w:rPr>
                <w:b w:val="0"/>
                <w:bCs/>
                <w:color w:val="auto"/>
                <w:kern w:val="0"/>
                <w:sz w:val="24"/>
                <w:highlight w:val="none"/>
              </w:rPr>
            </w:pPr>
            <w:r>
              <w:rPr>
                <w:b w:val="0"/>
                <w:bCs/>
                <w:color w:val="auto"/>
                <w:kern w:val="0"/>
                <w:sz w:val="24"/>
                <w:highlight w:val="none"/>
              </w:rPr>
              <w:t>电极单重：</w:t>
            </w:r>
            <w:r>
              <w:rPr>
                <w:rFonts w:hint="eastAsia"/>
                <w:b w:val="0"/>
                <w:bCs/>
                <w:color w:val="auto"/>
                <w:kern w:val="0"/>
                <w:sz w:val="24"/>
                <w:highlight w:val="none"/>
              </w:rPr>
              <w:t>370</w:t>
            </w:r>
            <w:r>
              <w:rPr>
                <w:b w:val="0"/>
                <w:bCs/>
                <w:color w:val="auto"/>
                <w:kern w:val="0"/>
                <w:sz w:val="24"/>
                <w:highlight w:val="none"/>
              </w:rPr>
              <w:t>Kg</w:t>
            </w:r>
          </w:p>
          <w:p w14:paraId="7F0346B6">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p>
          <w:p w14:paraId="7F0346B7">
            <w:pPr>
              <w:widowControl/>
              <w:spacing w:line="0" w:lineRule="atLeast"/>
              <w:contextualSpacing/>
              <w:rPr>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B8">
            <w:pPr>
              <w:widowControl/>
              <w:spacing w:line="0" w:lineRule="atLeast"/>
              <w:contextualSpacing/>
              <w:rPr>
                <w:b w:val="0"/>
                <w:bCs/>
                <w:color w:val="auto"/>
                <w:kern w:val="0"/>
                <w:sz w:val="24"/>
                <w:highlight w:val="none"/>
              </w:rPr>
            </w:pP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1164</w:t>
            </w:r>
            <w:r>
              <w:rPr>
                <w:b w:val="0"/>
                <w:bCs/>
                <w:color w:val="auto"/>
                <w:kern w:val="0"/>
                <w:sz w:val="24"/>
                <w:highlight w:val="none"/>
              </w:rPr>
              <w:t>mm</w:t>
            </w:r>
          </w:p>
          <w:p w14:paraId="7F0346B9">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BA">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Min：376mm</w:t>
            </w:r>
          </w:p>
          <w:p w14:paraId="7F0346BB">
            <w:pPr>
              <w:widowControl/>
              <w:spacing w:line="0" w:lineRule="atLeast"/>
              <w:ind w:firstLine="240" w:firstLineChars="100"/>
              <w:contextualSpacing/>
              <w:rPr>
                <w:rFonts w:eastAsia="等线"/>
                <w:b w:val="0"/>
                <w:bCs/>
                <w:color w:val="auto"/>
                <w:kern w:val="0"/>
                <w:sz w:val="24"/>
                <w:highlight w:val="none"/>
              </w:rPr>
            </w:pPr>
            <w:r>
              <w:rPr>
                <w:rFonts w:hint="eastAsia"/>
                <w:b w:val="0"/>
                <w:bCs/>
                <w:color w:val="auto"/>
                <w:kern w:val="0"/>
                <w:sz w:val="24"/>
                <w:highlight w:val="none"/>
              </w:rPr>
              <w:t>Max：876mm</w:t>
            </w:r>
          </w:p>
        </w:tc>
        <w:tc>
          <w:tcPr>
            <w:tcW w:w="1873" w:type="dxa"/>
            <w:vAlign w:val="center"/>
          </w:tcPr>
          <w:p w14:paraId="7F0346BC">
            <w:pPr>
              <w:widowControl/>
              <w:spacing w:line="0" w:lineRule="atLeast"/>
              <w:contextualSpacing/>
              <w:jc w:val="center"/>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300</w:t>
            </w:r>
            <w:r>
              <w:rPr>
                <w:b w:val="0"/>
                <w:bCs/>
                <w:color w:val="auto"/>
                <w:kern w:val="0"/>
                <w:sz w:val="24"/>
                <w:highlight w:val="none"/>
              </w:rPr>
              <w:t>mm</w:t>
            </w:r>
          </w:p>
          <w:p w14:paraId="7F0346BD">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两次锭</w:t>
            </w:r>
          </w:p>
        </w:tc>
        <w:tc>
          <w:tcPr>
            <w:tcW w:w="2437" w:type="dxa"/>
            <w:vMerge w:val="continue"/>
            <w:vAlign w:val="center"/>
          </w:tcPr>
          <w:p w14:paraId="7F0346BE">
            <w:pPr>
              <w:widowControl/>
              <w:spacing w:line="0" w:lineRule="atLeast"/>
              <w:contextualSpacing/>
              <w:jc w:val="center"/>
              <w:rPr>
                <w:rFonts w:eastAsia="等线"/>
                <w:b w:val="0"/>
                <w:bCs/>
                <w:color w:val="auto"/>
                <w:kern w:val="0"/>
                <w:sz w:val="24"/>
                <w:highlight w:val="none"/>
              </w:rPr>
            </w:pPr>
          </w:p>
        </w:tc>
      </w:tr>
      <w:tr w14:paraId="7F03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1745" w:type="dxa"/>
          </w:tcPr>
          <w:p w14:paraId="7F0346C0">
            <w:pPr>
              <w:widowControl/>
              <w:spacing w:line="0" w:lineRule="atLeast"/>
              <w:ind w:left="240" w:hanging="240" w:hangingChars="100"/>
              <w:contextualSpacing/>
              <w:jc w:val="left"/>
              <w:rPr>
                <w:b w:val="0"/>
                <w:bCs/>
                <w:color w:val="auto"/>
                <w:kern w:val="0"/>
                <w:sz w:val="24"/>
                <w:highlight w:val="none"/>
              </w:rPr>
            </w:pPr>
            <w:r>
              <w:rPr>
                <w:rFonts w:hint="eastAsia"/>
                <w:b w:val="0"/>
                <w:bCs/>
                <w:color w:val="auto"/>
                <w:kern w:val="0"/>
                <w:sz w:val="24"/>
                <w:highlight w:val="none"/>
              </w:rPr>
              <w:t>材  料密度：4.5g/cm</w:t>
            </w:r>
            <w:r>
              <w:rPr>
                <w:rFonts w:hint="eastAsia"/>
                <w:b w:val="0"/>
                <w:bCs/>
                <w:color w:val="auto"/>
                <w:kern w:val="0"/>
                <w:sz w:val="24"/>
                <w:highlight w:val="none"/>
                <w:vertAlign w:val="superscript"/>
              </w:rPr>
              <w:t>3</w:t>
            </w:r>
          </w:p>
          <w:p w14:paraId="7F0346C1">
            <w:pPr>
              <w:widowControl/>
              <w:spacing w:line="0" w:lineRule="atLeast"/>
              <w:ind w:left="240" w:hanging="240" w:hangingChars="100"/>
              <w:contextualSpacing/>
              <w:jc w:val="left"/>
              <w:rPr>
                <w:b w:val="0"/>
                <w:bCs/>
                <w:color w:val="auto"/>
                <w:kern w:val="0"/>
                <w:sz w:val="24"/>
                <w:highlight w:val="none"/>
                <w:vertAlign w:val="superscript"/>
              </w:rPr>
            </w:pPr>
            <w:r>
              <w:rPr>
                <w:rFonts w:hint="eastAsia"/>
                <w:b w:val="0"/>
                <w:bCs/>
                <w:color w:val="auto"/>
                <w:kern w:val="0"/>
                <w:sz w:val="24"/>
                <w:highlight w:val="none"/>
              </w:rPr>
              <w:t>电极块密度：3.45g/cm</w:t>
            </w:r>
            <w:r>
              <w:rPr>
                <w:rFonts w:hint="eastAsia"/>
                <w:b w:val="0"/>
                <w:bCs/>
                <w:color w:val="auto"/>
                <w:kern w:val="0"/>
                <w:sz w:val="24"/>
                <w:highlight w:val="none"/>
                <w:vertAlign w:val="superscript"/>
              </w:rPr>
              <w:t>3</w:t>
            </w:r>
          </w:p>
          <w:p w14:paraId="7F0346C2">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投料量：</w:t>
            </w:r>
          </w:p>
          <w:p w14:paraId="7F0346C3">
            <w:pPr>
              <w:widowControl/>
              <w:spacing w:line="0" w:lineRule="atLeast"/>
              <w:ind w:firstLine="240" w:firstLineChars="100"/>
              <w:contextualSpacing/>
              <w:jc w:val="left"/>
              <w:rPr>
                <w:rFonts w:eastAsia="等线"/>
                <w:b w:val="0"/>
                <w:bCs/>
                <w:color w:val="auto"/>
                <w:kern w:val="0"/>
                <w:sz w:val="24"/>
                <w:highlight w:val="none"/>
              </w:rPr>
            </w:pPr>
            <w:r>
              <w:rPr>
                <w:rFonts w:hint="eastAsia"/>
                <w:b w:val="0"/>
                <w:bCs/>
                <w:color w:val="auto"/>
                <w:kern w:val="0"/>
                <w:sz w:val="24"/>
                <w:highlight w:val="none"/>
              </w:rPr>
              <w:t>202kg</w:t>
            </w:r>
          </w:p>
        </w:tc>
        <w:tc>
          <w:tcPr>
            <w:tcW w:w="2777" w:type="dxa"/>
          </w:tcPr>
          <w:p w14:paraId="7F0346C4">
            <w:pPr>
              <w:widowControl/>
              <w:spacing w:line="0" w:lineRule="atLeast"/>
              <w:contextualSpacing/>
              <w:jc w:val="left"/>
              <w:rPr>
                <w:b w:val="0"/>
                <w:bCs/>
                <w:color w:val="auto"/>
                <w:kern w:val="0"/>
                <w:sz w:val="16"/>
                <w:szCs w:val="16"/>
                <w:highlight w:val="none"/>
              </w:rPr>
            </w:pPr>
            <w:r>
              <w:rPr>
                <w:rFonts w:hint="eastAsia"/>
                <w:b w:val="0"/>
                <w:bCs/>
                <w:color w:val="auto"/>
                <w:kern w:val="0"/>
                <w:sz w:val="16"/>
                <w:szCs w:val="16"/>
                <w:highlight w:val="none"/>
              </w:rPr>
              <w:t>（20.2kg/块×2块/节×5节/支，5支）</w:t>
            </w:r>
          </w:p>
          <w:p w14:paraId="7F0346C5">
            <w:pPr>
              <w:widowControl/>
              <w:spacing w:line="0" w:lineRule="atLeast"/>
              <w:contextualSpacing/>
              <w:jc w:val="left"/>
              <w:rPr>
                <w:b w:val="0"/>
                <w:bCs/>
                <w:color w:val="auto"/>
                <w:kern w:val="0"/>
                <w:sz w:val="24"/>
                <w:highlight w:val="none"/>
              </w:rPr>
            </w:pPr>
            <w:r>
              <w:rPr>
                <w:b w:val="0"/>
                <w:bCs/>
                <w:color w:val="auto"/>
                <w:kern w:val="0"/>
                <w:sz w:val="24"/>
                <w:highlight w:val="none"/>
              </w:rPr>
              <w:t>自耗电极：</w:t>
            </w:r>
          </w:p>
          <w:p w14:paraId="7F0346C6">
            <w:pPr>
              <w:widowControl/>
              <w:spacing w:line="0" w:lineRule="atLeast"/>
              <w:ind w:firstLine="240" w:firstLineChars="100"/>
              <w:contextualSpacing/>
              <w:jc w:val="left"/>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220</w:t>
            </w:r>
            <w:r>
              <w:rPr>
                <w:b w:val="0"/>
                <w:bCs/>
                <w:color w:val="auto"/>
                <w:kern w:val="0"/>
                <w:sz w:val="24"/>
                <w:highlight w:val="none"/>
              </w:rPr>
              <w:t>×</w:t>
            </w:r>
            <w:r>
              <w:rPr>
                <w:rFonts w:hint="eastAsia"/>
                <w:b w:val="0"/>
                <w:bCs/>
                <w:color w:val="auto"/>
                <w:kern w:val="0"/>
                <w:sz w:val="24"/>
                <w:highlight w:val="none"/>
              </w:rPr>
              <w:t>2000</w:t>
            </w:r>
            <w:r>
              <w:rPr>
                <w:b w:val="0"/>
                <w:bCs/>
                <w:color w:val="auto"/>
                <w:kern w:val="0"/>
                <w:sz w:val="24"/>
                <w:highlight w:val="none"/>
              </w:rPr>
              <w:t>mm</w:t>
            </w:r>
          </w:p>
          <w:p w14:paraId="7F0346C7">
            <w:pPr>
              <w:widowControl/>
              <w:spacing w:line="0" w:lineRule="atLeast"/>
              <w:contextualSpacing/>
              <w:jc w:val="left"/>
              <w:rPr>
                <w:b w:val="0"/>
                <w:bCs/>
                <w:color w:val="auto"/>
                <w:kern w:val="0"/>
                <w:sz w:val="24"/>
                <w:highlight w:val="none"/>
              </w:rPr>
            </w:pPr>
            <w:r>
              <w:rPr>
                <w:b w:val="0"/>
                <w:bCs/>
                <w:color w:val="auto"/>
                <w:kern w:val="0"/>
                <w:sz w:val="24"/>
                <w:highlight w:val="none"/>
              </w:rPr>
              <w:t>电极单重：</w:t>
            </w:r>
          </w:p>
          <w:p w14:paraId="7F0346C8">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202</w:t>
            </w:r>
            <w:r>
              <w:rPr>
                <w:b w:val="0"/>
                <w:bCs/>
                <w:color w:val="auto"/>
                <w:kern w:val="0"/>
                <w:sz w:val="24"/>
                <w:highlight w:val="none"/>
              </w:rPr>
              <w:t>Kg</w:t>
            </w:r>
          </w:p>
        </w:tc>
        <w:tc>
          <w:tcPr>
            <w:tcW w:w="3521" w:type="dxa"/>
          </w:tcPr>
          <w:p w14:paraId="7F0346C9">
            <w:pPr>
              <w:widowControl/>
              <w:spacing w:line="0" w:lineRule="atLeast"/>
              <w:contextualSpacing/>
              <w:rPr>
                <w:b w:val="0"/>
                <w:bCs/>
                <w:color w:val="auto"/>
                <w:kern w:val="0"/>
                <w:sz w:val="24"/>
                <w:highlight w:val="none"/>
              </w:rPr>
            </w:pPr>
            <w:r>
              <w:rPr>
                <w:b w:val="0"/>
                <w:bCs/>
                <w:color w:val="auto"/>
                <w:kern w:val="0"/>
                <w:sz w:val="24"/>
                <w:highlight w:val="none"/>
              </w:rPr>
              <w:t>坩埚规格：</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p>
          <w:p w14:paraId="7F0346CA">
            <w:pPr>
              <w:widowControl/>
              <w:spacing w:line="0" w:lineRule="atLeast"/>
              <w:contextualSpacing/>
              <w:rPr>
                <w:rFonts w:eastAsia="等线"/>
                <w:b w:val="0"/>
                <w:bCs/>
                <w:color w:val="auto"/>
                <w:kern w:val="0"/>
                <w:sz w:val="24"/>
                <w:highlight w:val="none"/>
              </w:rPr>
            </w:pPr>
            <w:r>
              <w:rPr>
                <w:b w:val="0"/>
                <w:bCs/>
                <w:color w:val="auto"/>
                <w:kern w:val="0"/>
                <w:sz w:val="24"/>
                <w:highlight w:val="none"/>
              </w:rPr>
              <w:t>铸锭规格：</w:t>
            </w:r>
            <w:r>
              <w:rPr>
                <w:rFonts w:hint="eastAsia"/>
                <w:b w:val="0"/>
                <w:bCs/>
                <w:color w:val="auto"/>
                <w:kern w:val="0"/>
                <w:sz w:val="24"/>
                <w:highlight w:val="none"/>
              </w:rPr>
              <w:t>（1炉）</w:t>
            </w:r>
          </w:p>
          <w:p w14:paraId="7F0346CB">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635</w:t>
            </w:r>
            <w:r>
              <w:rPr>
                <w:b w:val="0"/>
                <w:bCs/>
                <w:color w:val="auto"/>
                <w:kern w:val="0"/>
                <w:sz w:val="24"/>
                <w:highlight w:val="none"/>
              </w:rPr>
              <w:t>mm</w:t>
            </w:r>
          </w:p>
          <w:p w14:paraId="7F0346CC">
            <w:pPr>
              <w:widowControl/>
              <w:spacing w:line="0" w:lineRule="atLeast"/>
              <w:contextualSpacing/>
              <w:rPr>
                <w:b w:val="0"/>
                <w:bCs/>
                <w:color w:val="auto"/>
                <w:kern w:val="0"/>
                <w:sz w:val="24"/>
                <w:highlight w:val="none"/>
              </w:rPr>
            </w:pPr>
            <w:r>
              <w:rPr>
                <w:rFonts w:hint="eastAsia"/>
                <w:b w:val="0"/>
                <w:bCs/>
                <w:color w:val="auto"/>
                <w:kern w:val="0"/>
                <w:sz w:val="24"/>
                <w:highlight w:val="none"/>
              </w:rPr>
              <w:t>辅助电极长度</w:t>
            </w:r>
          </w:p>
          <w:p w14:paraId="7F0346CD">
            <w:pPr>
              <w:widowControl/>
              <w:spacing w:line="0" w:lineRule="atLeast"/>
              <w:ind w:firstLine="240" w:firstLineChars="100"/>
              <w:contextualSpacing/>
              <w:rPr>
                <w:b w:val="0"/>
                <w:bCs/>
                <w:color w:val="auto"/>
                <w:kern w:val="0"/>
                <w:sz w:val="24"/>
                <w:highlight w:val="none"/>
              </w:rPr>
            </w:pPr>
            <w:r>
              <w:rPr>
                <w:rFonts w:hint="eastAsia"/>
                <w:b w:val="0"/>
                <w:bCs/>
                <w:color w:val="auto"/>
                <w:kern w:val="0"/>
                <w:sz w:val="24"/>
                <w:highlight w:val="none"/>
              </w:rPr>
              <w:t>Min：905mm</w:t>
            </w:r>
          </w:p>
          <w:p w14:paraId="7F0346CE">
            <w:pPr>
              <w:widowControl/>
              <w:spacing w:line="0" w:lineRule="atLeast"/>
              <w:ind w:firstLine="240" w:firstLineChars="100"/>
              <w:contextualSpacing/>
              <w:jc w:val="left"/>
              <w:rPr>
                <w:b w:val="0"/>
                <w:bCs/>
                <w:color w:val="auto"/>
                <w:kern w:val="0"/>
                <w:sz w:val="24"/>
                <w:highlight w:val="none"/>
              </w:rPr>
            </w:pPr>
            <w:r>
              <w:rPr>
                <w:rFonts w:hint="eastAsia"/>
                <w:b w:val="0"/>
                <w:bCs/>
                <w:color w:val="auto"/>
                <w:kern w:val="0"/>
                <w:sz w:val="24"/>
                <w:highlight w:val="none"/>
              </w:rPr>
              <w:t>Max：1040mm</w:t>
            </w:r>
          </w:p>
        </w:tc>
        <w:tc>
          <w:tcPr>
            <w:tcW w:w="3521" w:type="dxa"/>
            <w:vAlign w:val="center"/>
          </w:tcPr>
          <w:p w14:paraId="7F0346CF">
            <w:pPr>
              <w:widowControl/>
              <w:spacing w:line="0" w:lineRule="atLeast"/>
              <w:contextualSpacing/>
              <w:jc w:val="center"/>
              <w:rPr>
                <w:rFonts w:eastAsia="等线"/>
                <w:b w:val="0"/>
                <w:bCs/>
                <w:color w:val="auto"/>
                <w:kern w:val="0"/>
                <w:sz w:val="24"/>
                <w:highlight w:val="none"/>
              </w:rPr>
            </w:pPr>
            <w:r>
              <w:rPr>
                <w:rFonts w:hint="eastAsia"/>
                <w:b w:val="0"/>
                <w:bCs/>
                <w:color w:val="auto"/>
                <w:kern w:val="0"/>
                <w:sz w:val="24"/>
                <w:highlight w:val="none"/>
              </w:rPr>
              <w:t>/</w:t>
            </w:r>
          </w:p>
        </w:tc>
        <w:tc>
          <w:tcPr>
            <w:tcW w:w="1873" w:type="dxa"/>
            <w:vAlign w:val="center"/>
          </w:tcPr>
          <w:p w14:paraId="7F0346D0">
            <w:pPr>
              <w:widowControl/>
              <w:spacing w:line="0" w:lineRule="atLeast"/>
              <w:contextualSpacing/>
              <w:jc w:val="center"/>
              <w:rPr>
                <w:b w:val="0"/>
                <w:bCs/>
                <w:color w:val="auto"/>
                <w:kern w:val="0"/>
                <w:sz w:val="24"/>
                <w:highlight w:val="none"/>
              </w:rPr>
            </w:pPr>
            <w:r>
              <w:rPr>
                <w:b w:val="0"/>
                <w:bCs/>
                <w:color w:val="auto"/>
                <w:kern w:val="0"/>
                <w:sz w:val="24"/>
                <w:highlight w:val="none"/>
              </w:rPr>
              <w:t>Φ</w:t>
            </w:r>
            <w:r>
              <w:rPr>
                <w:rFonts w:hint="eastAsia"/>
                <w:b w:val="0"/>
                <w:bCs/>
                <w:color w:val="auto"/>
                <w:kern w:val="0"/>
                <w:sz w:val="24"/>
                <w:highlight w:val="none"/>
              </w:rPr>
              <w:t>300</w:t>
            </w:r>
            <w:r>
              <w:rPr>
                <w:b w:val="0"/>
                <w:bCs/>
                <w:color w:val="auto"/>
                <w:kern w:val="0"/>
                <w:sz w:val="24"/>
                <w:highlight w:val="none"/>
              </w:rPr>
              <w:t>mm</w:t>
            </w:r>
          </w:p>
          <w:p w14:paraId="7F0346D1">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一次锭</w:t>
            </w:r>
          </w:p>
        </w:tc>
        <w:tc>
          <w:tcPr>
            <w:tcW w:w="2437" w:type="dxa"/>
            <w:vAlign w:val="center"/>
          </w:tcPr>
          <w:p w14:paraId="7F0346D2">
            <w:pPr>
              <w:widowControl/>
              <w:spacing w:line="0" w:lineRule="atLeast"/>
              <w:contextualSpacing/>
              <w:jc w:val="center"/>
              <w:rPr>
                <w:b w:val="0"/>
                <w:bCs/>
                <w:color w:val="auto"/>
                <w:kern w:val="0"/>
                <w:sz w:val="24"/>
                <w:highlight w:val="none"/>
              </w:rPr>
            </w:pPr>
            <w:r>
              <w:rPr>
                <w:rFonts w:hint="eastAsia"/>
                <w:b w:val="0"/>
                <w:bCs/>
                <w:color w:val="auto"/>
                <w:kern w:val="0"/>
                <w:sz w:val="24"/>
                <w:highlight w:val="none"/>
              </w:rPr>
              <w:t>/</w:t>
            </w:r>
          </w:p>
        </w:tc>
      </w:tr>
      <w:tr w14:paraId="7F03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5874" w:type="dxa"/>
            <w:gridSpan w:val="6"/>
          </w:tcPr>
          <w:p w14:paraId="7F0346D4">
            <w:pPr>
              <w:widowControl/>
              <w:spacing w:line="0" w:lineRule="atLeast"/>
              <w:contextualSpacing/>
              <w:jc w:val="left"/>
              <w:rPr>
                <w:b w:val="0"/>
                <w:bCs/>
                <w:color w:val="auto"/>
                <w:kern w:val="0"/>
                <w:sz w:val="24"/>
                <w:highlight w:val="none"/>
              </w:rPr>
            </w:pPr>
            <w:r>
              <w:rPr>
                <w:b w:val="0"/>
                <w:bCs/>
                <w:color w:val="auto"/>
                <w:kern w:val="0"/>
                <w:sz w:val="24"/>
                <w:highlight w:val="none"/>
              </w:rPr>
              <w:t>1、需提供</w:t>
            </w:r>
            <w:r>
              <w:rPr>
                <w:rFonts w:hint="eastAsia"/>
                <w:b w:val="0"/>
                <w:bCs/>
                <w:color w:val="auto"/>
                <w:kern w:val="0"/>
                <w:sz w:val="24"/>
                <w:highlight w:val="none"/>
              </w:rPr>
              <w:t>以下坩埚</w:t>
            </w:r>
            <w:r>
              <w:rPr>
                <w:b w:val="0"/>
                <w:bCs/>
                <w:color w:val="auto"/>
                <w:kern w:val="0"/>
                <w:sz w:val="24"/>
                <w:highlight w:val="none"/>
              </w:rPr>
              <w:t>的设计图纸</w:t>
            </w:r>
            <w:r>
              <w:rPr>
                <w:rFonts w:hint="eastAsia"/>
                <w:b w:val="0"/>
                <w:bCs/>
                <w:color w:val="auto"/>
                <w:kern w:val="0"/>
                <w:sz w:val="24"/>
                <w:highlight w:val="none"/>
              </w:rPr>
              <w:t>：</w:t>
            </w:r>
          </w:p>
          <w:p w14:paraId="7F0346D5">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1.1常规坩埚：</w:t>
            </w:r>
            <w:r>
              <w:rPr>
                <w:b w:val="0"/>
                <w:bCs/>
                <w:color w:val="auto"/>
                <w:kern w:val="0"/>
                <w:sz w:val="24"/>
                <w:highlight w:val="none"/>
              </w:rPr>
              <w:t>Φ</w:t>
            </w:r>
            <w:r>
              <w:rPr>
                <w:rFonts w:hint="eastAsia"/>
                <w:b w:val="0"/>
                <w:bCs/>
                <w:color w:val="auto"/>
                <w:kern w:val="0"/>
                <w:sz w:val="24"/>
                <w:highlight w:val="none"/>
              </w:rPr>
              <w:t>120</w:t>
            </w:r>
            <w:r>
              <w:rPr>
                <w:b w:val="0"/>
                <w:bCs/>
                <w:color w:val="auto"/>
                <w:kern w:val="0"/>
                <w:sz w:val="24"/>
                <w:highlight w:val="none"/>
              </w:rPr>
              <w:t>×</w:t>
            </w:r>
            <w:r>
              <w:rPr>
                <w:rFonts w:hint="eastAsia"/>
                <w:b w:val="0"/>
                <w:bCs/>
                <w:color w:val="auto"/>
                <w:kern w:val="0"/>
                <w:sz w:val="24"/>
                <w:highlight w:val="none"/>
              </w:rPr>
              <w:t>（1500）</w:t>
            </w:r>
            <w:r>
              <w:rPr>
                <w:b w:val="0"/>
                <w:bCs/>
                <w:color w:val="auto"/>
                <w:kern w:val="0"/>
                <w:sz w:val="24"/>
                <w:highlight w:val="none"/>
              </w:rPr>
              <w:t>mm、</w:t>
            </w:r>
            <w:r>
              <w:rPr>
                <w:rFonts w:hint="eastAsia"/>
                <w:b w:val="0"/>
                <w:bCs/>
                <w:color w:val="auto"/>
                <w:kern w:val="0"/>
                <w:sz w:val="24"/>
                <w:highlight w:val="none"/>
              </w:rPr>
              <w:t>Φ160</w:t>
            </w:r>
            <w:r>
              <w:rPr>
                <w:b w:val="0"/>
                <w:bCs/>
                <w:color w:val="auto"/>
                <w:kern w:val="0"/>
                <w:sz w:val="24"/>
                <w:highlight w:val="none"/>
              </w:rPr>
              <w:t>×</w:t>
            </w:r>
            <w:r>
              <w:rPr>
                <w:rFonts w:hint="eastAsia"/>
                <w:b w:val="0"/>
                <w:bCs/>
                <w:color w:val="auto"/>
                <w:kern w:val="0"/>
                <w:sz w:val="24"/>
                <w:highlight w:val="none"/>
              </w:rPr>
              <w:t>1000</w:t>
            </w:r>
            <w:r>
              <w:rPr>
                <w:b w:val="0"/>
                <w:bCs/>
                <w:color w:val="auto"/>
                <w:kern w:val="0"/>
                <w:sz w:val="24"/>
                <w:highlight w:val="none"/>
              </w:rPr>
              <w:t>mm、</w:t>
            </w: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1500</w:t>
            </w:r>
            <w:r>
              <w:rPr>
                <w:b w:val="0"/>
                <w:bCs/>
                <w:color w:val="auto"/>
                <w:kern w:val="0"/>
                <w:sz w:val="24"/>
                <w:highlight w:val="none"/>
              </w:rPr>
              <w:t>mm</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p>
          <w:p w14:paraId="7F0346D6">
            <w:pPr>
              <w:widowControl/>
              <w:spacing w:line="0" w:lineRule="atLeast"/>
              <w:contextualSpacing/>
              <w:jc w:val="left"/>
              <w:rPr>
                <w:b w:val="0"/>
                <w:bCs/>
                <w:color w:val="auto"/>
                <w:kern w:val="0"/>
                <w:sz w:val="24"/>
                <w:highlight w:val="none"/>
              </w:rPr>
            </w:pPr>
            <w:r>
              <w:rPr>
                <w:rFonts w:hint="eastAsia"/>
                <w:b w:val="0"/>
                <w:bCs/>
                <w:color w:val="auto"/>
                <w:kern w:val="0"/>
                <w:sz w:val="24"/>
                <w:highlight w:val="none"/>
              </w:rPr>
              <w:t>1.2带氦气冷却功能的坩埚：Φ160</w:t>
            </w:r>
            <w:r>
              <w:rPr>
                <w:b w:val="0"/>
                <w:bCs/>
                <w:color w:val="auto"/>
                <w:kern w:val="0"/>
                <w:sz w:val="24"/>
                <w:highlight w:val="none"/>
              </w:rPr>
              <w:t>×</w:t>
            </w:r>
            <w:r>
              <w:rPr>
                <w:rFonts w:hint="eastAsia"/>
                <w:b w:val="0"/>
                <w:bCs/>
                <w:color w:val="auto"/>
                <w:kern w:val="0"/>
                <w:sz w:val="24"/>
                <w:highlight w:val="none"/>
              </w:rPr>
              <w:t>1000</w:t>
            </w:r>
            <w:r>
              <w:rPr>
                <w:b w:val="0"/>
                <w:bCs/>
                <w:color w:val="auto"/>
                <w:kern w:val="0"/>
                <w:sz w:val="24"/>
                <w:highlight w:val="none"/>
              </w:rPr>
              <w:t>mm、</w:t>
            </w:r>
            <w:r>
              <w:rPr>
                <w:rFonts w:hint="eastAsia"/>
                <w:b w:val="0"/>
                <w:bCs/>
                <w:color w:val="auto"/>
                <w:kern w:val="0"/>
                <w:sz w:val="24"/>
                <w:highlight w:val="none"/>
              </w:rPr>
              <w:t>Φ220</w:t>
            </w:r>
            <w:r>
              <w:rPr>
                <w:b w:val="0"/>
                <w:bCs/>
                <w:color w:val="auto"/>
                <w:kern w:val="0"/>
                <w:sz w:val="24"/>
                <w:highlight w:val="none"/>
              </w:rPr>
              <w:t>×</w:t>
            </w:r>
            <w:r>
              <w:rPr>
                <w:rFonts w:hint="eastAsia"/>
                <w:b w:val="0"/>
                <w:bCs/>
                <w:color w:val="auto"/>
                <w:kern w:val="0"/>
                <w:sz w:val="24"/>
                <w:highlight w:val="none"/>
              </w:rPr>
              <w:t>1500</w:t>
            </w:r>
            <w:r>
              <w:rPr>
                <w:b w:val="0"/>
                <w:bCs/>
                <w:color w:val="auto"/>
                <w:kern w:val="0"/>
                <w:sz w:val="24"/>
                <w:highlight w:val="none"/>
              </w:rPr>
              <w:t>mm</w:t>
            </w:r>
            <w:r>
              <w:rPr>
                <w:rFonts w:hint="eastAsia"/>
                <w:b w:val="0"/>
                <w:bCs/>
                <w:color w:val="auto"/>
                <w:kern w:val="0"/>
                <w:sz w:val="24"/>
                <w:highlight w:val="none"/>
              </w:rPr>
              <w:t>、Φ300</w:t>
            </w:r>
            <w:r>
              <w:rPr>
                <w:b w:val="0"/>
                <w:bCs/>
                <w:color w:val="auto"/>
                <w:kern w:val="0"/>
                <w:sz w:val="24"/>
                <w:highlight w:val="none"/>
              </w:rPr>
              <w:t>×</w:t>
            </w:r>
            <w:r>
              <w:rPr>
                <w:rFonts w:hint="eastAsia"/>
                <w:b w:val="0"/>
                <w:bCs/>
                <w:color w:val="auto"/>
                <w:kern w:val="0"/>
                <w:sz w:val="24"/>
                <w:highlight w:val="none"/>
              </w:rPr>
              <w:t>1600</w:t>
            </w:r>
            <w:r>
              <w:rPr>
                <w:b w:val="0"/>
                <w:bCs/>
                <w:color w:val="auto"/>
                <w:kern w:val="0"/>
                <w:sz w:val="24"/>
                <w:highlight w:val="none"/>
              </w:rPr>
              <w:t>mm</w:t>
            </w:r>
            <w:r>
              <w:rPr>
                <w:rFonts w:hint="eastAsia"/>
                <w:b w:val="0"/>
                <w:bCs/>
                <w:color w:val="auto"/>
                <w:kern w:val="0"/>
                <w:sz w:val="24"/>
                <w:highlight w:val="none"/>
              </w:rPr>
              <w:t>。</w:t>
            </w:r>
          </w:p>
          <w:p w14:paraId="7F0346D7">
            <w:pPr>
              <w:widowControl/>
              <w:spacing w:line="0" w:lineRule="atLeast"/>
              <w:contextualSpacing/>
              <w:jc w:val="left"/>
              <w:rPr>
                <w:b w:val="0"/>
                <w:bCs/>
                <w:color w:val="auto"/>
                <w:kern w:val="0"/>
                <w:sz w:val="24"/>
                <w:highlight w:val="none"/>
              </w:rPr>
            </w:pPr>
            <w:r>
              <w:rPr>
                <w:b w:val="0"/>
                <w:bCs/>
                <w:color w:val="auto"/>
                <w:kern w:val="0"/>
                <w:sz w:val="24"/>
                <w:highlight w:val="none"/>
              </w:rPr>
              <w:t>2、</w:t>
            </w:r>
            <w:r>
              <w:rPr>
                <w:rFonts w:hint="eastAsia"/>
                <w:b w:val="0"/>
                <w:bCs/>
                <w:color w:val="auto"/>
                <w:kern w:val="0"/>
                <w:sz w:val="24"/>
                <w:highlight w:val="none"/>
              </w:rPr>
              <w:t>甲方</w:t>
            </w:r>
            <w:r>
              <w:rPr>
                <w:b w:val="0"/>
                <w:bCs/>
                <w:color w:val="auto"/>
                <w:kern w:val="0"/>
                <w:sz w:val="24"/>
                <w:highlight w:val="none"/>
              </w:rPr>
              <w:t>设计本工艺方案时，炉头内可使用空间高度按</w:t>
            </w:r>
            <w:r>
              <w:rPr>
                <w:rFonts w:hint="eastAsia"/>
                <w:b w:val="0"/>
                <w:bCs/>
                <w:color w:val="auto"/>
                <w:kern w:val="0"/>
                <w:sz w:val="24"/>
                <w:highlight w:val="none"/>
              </w:rPr>
              <w:t>1500</w:t>
            </w:r>
            <w:r>
              <w:rPr>
                <w:b w:val="0"/>
                <w:bCs/>
                <w:color w:val="auto"/>
                <w:kern w:val="0"/>
                <w:sz w:val="24"/>
                <w:highlight w:val="none"/>
              </w:rPr>
              <w:t>mm</w:t>
            </w:r>
            <w:r>
              <w:rPr>
                <w:rFonts w:hint="eastAsia"/>
                <w:b w:val="0"/>
                <w:bCs/>
                <w:color w:val="auto"/>
                <w:kern w:val="0"/>
                <w:sz w:val="24"/>
                <w:highlight w:val="none"/>
              </w:rPr>
              <w:t>，炉头抬升高度按1540计算，电极杆行程按1500计算</w:t>
            </w:r>
            <w:r>
              <w:rPr>
                <w:b w:val="0"/>
                <w:bCs/>
                <w:color w:val="auto"/>
                <w:kern w:val="0"/>
                <w:sz w:val="24"/>
                <w:highlight w:val="none"/>
              </w:rPr>
              <w:t>。不影响投标方对这些结构尺寸的设计。</w:t>
            </w:r>
          </w:p>
        </w:tc>
      </w:tr>
    </w:tbl>
    <w:p w14:paraId="7F0346D9">
      <w:pPr>
        <w:autoSpaceDN w:val="0"/>
        <w:rPr>
          <w:b w:val="0"/>
          <w:bCs/>
          <w:color w:val="auto"/>
          <w:sz w:val="18"/>
          <w:szCs w:val="18"/>
          <w:highlight w:val="none"/>
        </w:rPr>
        <w:sectPr>
          <w:footerReference r:id="rId12" w:type="default"/>
          <w:pgSz w:w="16838" w:h="11906" w:orient="landscape"/>
          <w:pgMar w:top="720" w:right="720" w:bottom="720" w:left="720" w:header="0" w:footer="567" w:gutter="0"/>
          <w:pgNumType w:start="1"/>
          <w:cols w:space="720" w:num="1"/>
          <w:docGrid w:type="lines" w:linePitch="312" w:charSpace="0"/>
        </w:sectPr>
      </w:pPr>
    </w:p>
    <w:p w14:paraId="7F0346DA">
      <w:pPr>
        <w:spacing w:line="0" w:lineRule="atLeast"/>
        <w:jc w:val="center"/>
        <w:rPr>
          <w:b w:val="0"/>
          <w:bCs/>
          <w:color w:val="auto"/>
          <w:spacing w:val="10"/>
          <w:szCs w:val="21"/>
          <w:highlight w:val="none"/>
        </w:rPr>
      </w:pPr>
      <w:r>
        <w:rPr>
          <w:rFonts w:hint="eastAsia"/>
          <w:b w:val="0"/>
          <w:bCs/>
          <w:color w:val="auto"/>
          <w:spacing w:val="10"/>
          <w:szCs w:val="21"/>
          <w:highlight w:val="none"/>
        </w:rPr>
        <w:t>附录3</w:t>
      </w:r>
      <w:r>
        <w:rPr>
          <w:b w:val="0"/>
          <w:bCs/>
          <w:color w:val="auto"/>
          <w:spacing w:val="10"/>
          <w:szCs w:val="21"/>
          <w:highlight w:val="none"/>
        </w:rPr>
        <w:t>—</w:t>
      </w:r>
      <w:r>
        <w:rPr>
          <w:rFonts w:hint="eastAsia"/>
          <w:b w:val="0"/>
          <w:bCs/>
          <w:color w:val="auto"/>
          <w:spacing w:val="10"/>
          <w:szCs w:val="21"/>
          <w:highlight w:val="none"/>
        </w:rPr>
        <w:t>信息化数据接口要求</w:t>
      </w:r>
    </w:p>
    <w:p w14:paraId="7F0346DB">
      <w:pPr>
        <w:pStyle w:val="3"/>
        <w:numPr>
          <w:ilvl w:val="0"/>
          <w:numId w:val="14"/>
        </w:numPr>
        <w:rPr>
          <w:b w:val="0"/>
          <w:bCs/>
          <w:color w:val="auto"/>
          <w:sz w:val="32"/>
          <w:szCs w:val="32"/>
          <w:highlight w:val="none"/>
        </w:rPr>
      </w:pPr>
      <w:bookmarkStart w:id="943" w:name="_Toc12189"/>
      <w:r>
        <w:rPr>
          <w:rFonts w:hint="eastAsia"/>
          <w:b w:val="0"/>
          <w:bCs/>
          <w:color w:val="auto"/>
          <w:sz w:val="32"/>
          <w:szCs w:val="32"/>
          <w:highlight w:val="none"/>
        </w:rPr>
        <w:t>总体要求</w:t>
      </w:r>
      <w:bookmarkEnd w:id="943"/>
    </w:p>
    <w:p w14:paraId="7F0346DC">
      <w:pPr>
        <w:spacing w:line="360" w:lineRule="auto"/>
        <w:ind w:firstLine="420"/>
        <w:rPr>
          <w:rFonts w:hint="eastAsia" w:ascii="宋体" w:hAnsi="宋体" w:cs="宋体"/>
          <w:b w:val="0"/>
          <w:bCs/>
          <w:color w:val="auto"/>
          <w:sz w:val="24"/>
          <w:highlight w:val="none"/>
        </w:rPr>
      </w:pPr>
      <w:r>
        <w:rPr>
          <w:rFonts w:ascii="宋体" w:hAnsi="宋体" w:cs="宋体"/>
          <w:b w:val="0"/>
          <w:bCs/>
          <w:color w:val="auto"/>
          <w:sz w:val="24"/>
          <w:highlight w:val="none"/>
        </w:rPr>
        <w:t>投标方应提供统一、标准化、实时、双向、稳定的数据接口，支持设备运行数据采集、报警事件和日志信息上报、生产任务及追溯标识信息下发、工艺参数及配方信息下发、自动化作业调用、执行状态反馈及系统集成等需求。</w:t>
      </w:r>
    </w:p>
    <w:p w14:paraId="7F0346DD">
      <w:pPr>
        <w:spacing w:line="360" w:lineRule="auto"/>
        <w:ind w:firstLine="420"/>
        <w:rPr>
          <w:b w:val="0"/>
          <w:bCs/>
          <w:color w:val="auto"/>
          <w:sz w:val="24"/>
          <w:highlight w:val="none"/>
        </w:rPr>
      </w:pPr>
      <w:r>
        <w:rPr>
          <w:b w:val="0"/>
          <w:bCs/>
          <w:color w:val="auto"/>
          <w:sz w:val="24"/>
          <w:highlight w:val="none"/>
        </w:rPr>
        <w:t>接口应覆盖设备控制系统、PLC、工控机、触摸屏、仪表、传感器及设备上位机系统中可采集、可显示、可记录的数据，以及原本可由操作人员通过设备上位机、触摸屏或操作面板完成的常规生产操作相关接口。</w:t>
      </w:r>
    </w:p>
    <w:p w14:paraId="7F0346DE">
      <w:pPr>
        <w:pStyle w:val="3"/>
        <w:numPr>
          <w:ilvl w:val="0"/>
          <w:numId w:val="14"/>
        </w:numPr>
        <w:rPr>
          <w:b w:val="0"/>
          <w:bCs/>
          <w:color w:val="auto"/>
          <w:sz w:val="32"/>
          <w:szCs w:val="32"/>
          <w:highlight w:val="none"/>
        </w:rPr>
      </w:pPr>
      <w:bookmarkStart w:id="944" w:name="_Toc31646"/>
      <w:r>
        <w:rPr>
          <w:rFonts w:hint="eastAsia"/>
          <w:b w:val="0"/>
          <w:bCs/>
          <w:color w:val="auto"/>
          <w:sz w:val="32"/>
          <w:szCs w:val="32"/>
          <w:highlight w:val="none"/>
        </w:rPr>
        <w:t>通信协议与接口需求</w:t>
      </w:r>
      <w:bookmarkEnd w:id="944"/>
    </w:p>
    <w:p w14:paraId="7F0346DF">
      <w:pPr>
        <w:pStyle w:val="4"/>
        <w:rPr>
          <w:rFonts w:ascii="Times New Roman" w:hAnsi="Times New Roman"/>
          <w:b w:val="0"/>
          <w:bCs/>
          <w:color w:val="auto"/>
          <w:sz w:val="24"/>
          <w:szCs w:val="24"/>
          <w:highlight w:val="none"/>
        </w:rPr>
      </w:pPr>
      <w:bookmarkStart w:id="945" w:name="_Toc24351"/>
      <w:r>
        <w:rPr>
          <w:rFonts w:ascii="Times New Roman" w:hAnsi="Times New Roman"/>
          <w:b w:val="0"/>
          <w:bCs/>
          <w:color w:val="auto"/>
          <w:sz w:val="24"/>
          <w:szCs w:val="24"/>
          <w:highlight w:val="none"/>
        </w:rPr>
        <w:t xml:space="preserve">2.1 </w:t>
      </w:r>
      <w:r>
        <w:rPr>
          <w:rFonts w:hint="eastAsia" w:ascii="Times New Roman" w:hAnsi="Times New Roman"/>
          <w:b w:val="0"/>
          <w:bCs/>
          <w:color w:val="auto"/>
          <w:sz w:val="24"/>
          <w:szCs w:val="24"/>
          <w:highlight w:val="none"/>
        </w:rPr>
        <w:t>通信协议</w:t>
      </w:r>
      <w:bookmarkEnd w:id="945"/>
    </w:p>
    <w:p w14:paraId="7F0346E0">
      <w:pPr>
        <w:pStyle w:val="334"/>
        <w:spacing w:line="360" w:lineRule="auto"/>
        <w:ind w:left="0"/>
        <w:rPr>
          <w:rFonts w:ascii="Times New Roman" w:hAnsi="Times New Roman" w:cs="Times New Roman"/>
          <w:b w:val="0"/>
          <w:bCs/>
          <w:color w:val="auto"/>
          <w:sz w:val="24"/>
          <w:highlight w:val="none"/>
        </w:rPr>
      </w:pPr>
      <w:r>
        <w:rPr>
          <w:rFonts w:hint="eastAsia" w:ascii="Times New Roman" w:hAnsi="Times New Roman" w:cs="Times New Roman"/>
          <w:b w:val="0"/>
          <w:bCs/>
          <w:color w:val="auto"/>
          <w:sz w:val="24"/>
          <w:highlight w:val="none"/>
        </w:rPr>
        <w:t>数据接口优先采用OPC UA工业通信标准，</w:t>
      </w:r>
      <w:r>
        <w:rPr>
          <w:rFonts w:ascii="Times New Roman" w:hAnsi="Times New Roman" w:cs="Times New Roman"/>
          <w:b w:val="0"/>
          <w:bCs/>
          <w:color w:val="auto"/>
          <w:sz w:val="24"/>
          <w:highlight w:val="none"/>
        </w:rPr>
        <w:t>备选支持：Modbus TCP、TCP/IP等采购方认可的工业标准协议。</w:t>
      </w:r>
    </w:p>
    <w:p w14:paraId="7F0346E1">
      <w:pPr>
        <w:pStyle w:val="4"/>
        <w:rPr>
          <w:rFonts w:ascii="Times New Roman" w:hAnsi="Times New Roman"/>
          <w:b w:val="0"/>
          <w:bCs/>
          <w:color w:val="auto"/>
          <w:sz w:val="24"/>
          <w:szCs w:val="24"/>
          <w:highlight w:val="none"/>
        </w:rPr>
      </w:pPr>
      <w:bookmarkStart w:id="946" w:name="_Toc16129"/>
      <w:r>
        <w:rPr>
          <w:rFonts w:hint="eastAsia" w:ascii="Times New Roman" w:hAnsi="Times New Roman"/>
          <w:b w:val="0"/>
          <w:bCs/>
          <w:color w:val="auto"/>
          <w:sz w:val="24"/>
          <w:szCs w:val="24"/>
          <w:highlight w:val="none"/>
        </w:rPr>
        <w:t xml:space="preserve">2.2 </w:t>
      </w:r>
      <w:r>
        <w:rPr>
          <w:rFonts w:ascii="Times New Roman" w:hAnsi="Times New Roman"/>
          <w:b w:val="0"/>
          <w:bCs/>
          <w:color w:val="auto"/>
          <w:sz w:val="24"/>
          <w:szCs w:val="24"/>
          <w:highlight w:val="none"/>
        </w:rPr>
        <w:t>实时通信</w:t>
      </w:r>
      <w:bookmarkEnd w:id="946"/>
    </w:p>
    <w:p w14:paraId="7F0346E2">
      <w:pPr>
        <w:pStyle w:val="334"/>
        <w:spacing w:line="360" w:lineRule="auto"/>
        <w:ind w:left="0"/>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接口应支持外部系统实时读取或订阅设备运行过程数据、设备状态数据、报警与事件数据、系统操作日志、能耗数据、产品与工艺追溯信息等</w:t>
      </w:r>
      <w:r>
        <w:rPr>
          <w:rFonts w:hint="eastAsia" w:ascii="Times New Roman" w:hAnsi="Times New Roman" w:cs="Times New Roman"/>
          <w:b w:val="0"/>
          <w:bCs/>
          <w:color w:val="auto"/>
          <w:sz w:val="24"/>
          <w:highlight w:val="none"/>
        </w:rPr>
        <w:t>数据</w:t>
      </w:r>
      <w:r>
        <w:rPr>
          <w:rFonts w:ascii="Times New Roman" w:hAnsi="Times New Roman" w:cs="Times New Roman"/>
          <w:b w:val="0"/>
          <w:bCs/>
          <w:color w:val="auto"/>
          <w:sz w:val="24"/>
          <w:highlight w:val="none"/>
        </w:rPr>
        <w:t>。不得仅以 Excel、CSV、TXT、本地数据库导出、U 盘拷贝或人工导出等方式替代实时通信接口。文件导出、报表导出或历史数据导出可作为辅助功能，但不得替代实时数据采集、报警事件上送、数据下发、作业请求和执行反馈接口。</w:t>
      </w:r>
    </w:p>
    <w:p w14:paraId="7F0346E3">
      <w:pPr>
        <w:pStyle w:val="4"/>
        <w:rPr>
          <w:rFonts w:ascii="Times New Roman" w:hAnsi="Times New Roman"/>
          <w:b w:val="0"/>
          <w:bCs/>
          <w:color w:val="auto"/>
          <w:sz w:val="24"/>
          <w:szCs w:val="24"/>
          <w:highlight w:val="none"/>
        </w:rPr>
      </w:pPr>
      <w:bookmarkStart w:id="947" w:name="_Toc7516"/>
      <w:r>
        <w:rPr>
          <w:rFonts w:hint="eastAsia" w:ascii="Times New Roman" w:hAnsi="Times New Roman"/>
          <w:b w:val="0"/>
          <w:bCs/>
          <w:color w:val="auto"/>
          <w:sz w:val="24"/>
          <w:szCs w:val="24"/>
          <w:highlight w:val="none"/>
        </w:rPr>
        <w:t>2.3 双向通信</w:t>
      </w:r>
      <w:bookmarkEnd w:id="947"/>
    </w:p>
    <w:p w14:paraId="7F0346E4">
      <w:pPr>
        <w:pStyle w:val="334"/>
        <w:spacing w:line="360" w:lineRule="auto"/>
        <w:ind w:left="0"/>
        <w:rPr>
          <w:rFonts w:ascii="Times New Roman" w:hAnsi="Times New Roman" w:cs="Times New Roman"/>
          <w:b w:val="0"/>
          <w:bCs/>
          <w:color w:val="auto"/>
          <w:sz w:val="24"/>
          <w:highlight w:val="none"/>
        </w:rPr>
      </w:pPr>
      <w:r>
        <w:rPr>
          <w:b w:val="0"/>
          <w:bCs/>
          <w:color w:val="auto"/>
          <w:sz w:val="24"/>
          <w:highlight w:val="none"/>
        </w:rPr>
        <w:t>接口应具备双向通信能力，既支持设备数据上传，也支持外部系统按照约定权限和接口规范进行生产任务、追溯标识、工艺参数、流程选择及作业请求等数据下发，并获取设备端接收、校验、执行和异常反馈结果。</w:t>
      </w:r>
    </w:p>
    <w:p w14:paraId="7F0346E5">
      <w:pPr>
        <w:pStyle w:val="4"/>
        <w:rPr>
          <w:rFonts w:ascii="Times New Roman" w:hAnsi="Times New Roman"/>
          <w:b w:val="0"/>
          <w:bCs/>
          <w:color w:val="auto"/>
          <w:sz w:val="24"/>
          <w:szCs w:val="24"/>
          <w:highlight w:val="none"/>
        </w:rPr>
      </w:pPr>
      <w:bookmarkStart w:id="948" w:name="_Toc28860"/>
      <w:r>
        <w:rPr>
          <w:rFonts w:hint="eastAsia" w:ascii="Times New Roman" w:hAnsi="Times New Roman"/>
          <w:b w:val="0"/>
          <w:bCs/>
          <w:color w:val="auto"/>
          <w:sz w:val="24"/>
          <w:szCs w:val="24"/>
          <w:highlight w:val="none"/>
        </w:rPr>
        <w:t xml:space="preserve">2.4 </w:t>
      </w:r>
      <w:r>
        <w:rPr>
          <w:rFonts w:ascii="Times New Roman" w:hAnsi="Times New Roman"/>
          <w:b w:val="0"/>
          <w:bCs/>
          <w:color w:val="auto"/>
          <w:sz w:val="24"/>
          <w:szCs w:val="24"/>
          <w:highlight w:val="none"/>
        </w:rPr>
        <w:t>多客户端并发访问</w:t>
      </w:r>
      <w:bookmarkEnd w:id="948"/>
    </w:p>
    <w:p w14:paraId="7F0346E6">
      <w:pPr>
        <w:spacing w:line="360" w:lineRule="auto"/>
        <w:ind w:firstLine="357"/>
        <w:rPr>
          <w:b w:val="0"/>
          <w:bCs/>
          <w:color w:val="auto"/>
          <w:sz w:val="24"/>
          <w:highlight w:val="none"/>
        </w:rPr>
      </w:pPr>
      <w:r>
        <w:rPr>
          <w:b w:val="0"/>
          <w:bCs/>
          <w:color w:val="auto"/>
          <w:sz w:val="24"/>
          <w:highlight w:val="none"/>
        </w:rPr>
        <w:t>接口应支持多客户端同时连接，不影响设备正常运行和控制系统稳定性。投标方应说明接口支持的最大连接数、并发访问机制、访问优先级、冲突处理机制和异常连接处理方式。</w:t>
      </w:r>
    </w:p>
    <w:p w14:paraId="7F0346E7">
      <w:pPr>
        <w:pStyle w:val="4"/>
        <w:rPr>
          <w:rFonts w:ascii="Times New Roman" w:hAnsi="Times New Roman"/>
          <w:b w:val="0"/>
          <w:bCs/>
          <w:color w:val="auto"/>
          <w:sz w:val="24"/>
          <w:szCs w:val="24"/>
          <w:highlight w:val="none"/>
        </w:rPr>
      </w:pPr>
      <w:bookmarkStart w:id="949" w:name="_Toc12790"/>
      <w:r>
        <w:rPr>
          <w:rFonts w:hint="eastAsia" w:ascii="Times New Roman" w:hAnsi="Times New Roman"/>
          <w:b w:val="0"/>
          <w:bCs/>
          <w:color w:val="auto"/>
          <w:sz w:val="24"/>
          <w:szCs w:val="24"/>
          <w:highlight w:val="none"/>
        </w:rPr>
        <w:t>2.5 数据点表</w:t>
      </w:r>
      <w:bookmarkEnd w:id="949"/>
    </w:p>
    <w:p w14:paraId="7F0346E8">
      <w:pPr>
        <w:spacing w:line="360" w:lineRule="auto"/>
        <w:ind w:firstLine="360"/>
        <w:rPr>
          <w:b w:val="0"/>
          <w:bCs/>
          <w:color w:val="auto"/>
          <w:sz w:val="24"/>
          <w:highlight w:val="none"/>
        </w:rPr>
      </w:pPr>
      <w:r>
        <w:rPr>
          <w:b w:val="0"/>
          <w:bCs/>
          <w:color w:val="auto"/>
          <w:highlight w:val="none"/>
        </w:rPr>
        <w:tab/>
      </w:r>
      <w:r>
        <w:rPr>
          <w:b w:val="0"/>
          <w:bCs/>
          <w:color w:val="auto"/>
          <w:sz w:val="24"/>
          <w:highlight w:val="none"/>
        </w:rPr>
        <w:t>投标方在投标文件中必须明确：可开放数据范围、数据来源、通讯方式、时间同步方式、数据导出方式，并提供完整数据点表，至少包含：</w:t>
      </w:r>
    </w:p>
    <w:p w14:paraId="7F0346E9">
      <w:pPr>
        <w:numPr>
          <w:ilvl w:val="0"/>
          <w:numId w:val="15"/>
        </w:numPr>
        <w:spacing w:line="360" w:lineRule="auto"/>
        <w:rPr>
          <w:b w:val="0"/>
          <w:bCs/>
          <w:color w:val="auto"/>
          <w:sz w:val="24"/>
          <w:highlight w:val="none"/>
        </w:rPr>
      </w:pPr>
      <w:r>
        <w:rPr>
          <w:b w:val="0"/>
          <w:bCs/>
          <w:color w:val="auto"/>
          <w:sz w:val="24"/>
          <w:highlight w:val="none"/>
        </w:rPr>
        <w:t>数据点名称</w:t>
      </w:r>
    </w:p>
    <w:p w14:paraId="7F0346EA">
      <w:pPr>
        <w:numPr>
          <w:ilvl w:val="0"/>
          <w:numId w:val="15"/>
        </w:numPr>
        <w:spacing w:line="360" w:lineRule="auto"/>
        <w:rPr>
          <w:b w:val="0"/>
          <w:bCs/>
          <w:color w:val="auto"/>
          <w:sz w:val="24"/>
          <w:highlight w:val="none"/>
        </w:rPr>
      </w:pPr>
      <w:r>
        <w:rPr>
          <w:b w:val="0"/>
          <w:bCs/>
          <w:color w:val="auto"/>
          <w:sz w:val="24"/>
          <w:highlight w:val="none"/>
        </w:rPr>
        <w:t>数据来源（PLC/仪表/工控机等）</w:t>
      </w:r>
    </w:p>
    <w:p w14:paraId="7F0346EB">
      <w:pPr>
        <w:numPr>
          <w:ilvl w:val="0"/>
          <w:numId w:val="15"/>
        </w:numPr>
        <w:spacing w:line="360" w:lineRule="auto"/>
        <w:rPr>
          <w:b w:val="0"/>
          <w:bCs/>
          <w:color w:val="auto"/>
          <w:sz w:val="24"/>
          <w:highlight w:val="none"/>
        </w:rPr>
      </w:pPr>
      <w:r>
        <w:rPr>
          <w:rFonts w:hint="eastAsia"/>
          <w:b w:val="0"/>
          <w:bCs/>
          <w:color w:val="auto"/>
          <w:sz w:val="24"/>
          <w:highlight w:val="none"/>
        </w:rPr>
        <w:t>数据</w:t>
      </w:r>
      <w:r>
        <w:rPr>
          <w:b w:val="0"/>
          <w:bCs/>
          <w:color w:val="auto"/>
          <w:sz w:val="24"/>
          <w:highlight w:val="none"/>
        </w:rPr>
        <w:t>含义</w:t>
      </w:r>
    </w:p>
    <w:p w14:paraId="7F0346EC">
      <w:pPr>
        <w:numPr>
          <w:ilvl w:val="0"/>
          <w:numId w:val="15"/>
        </w:numPr>
        <w:spacing w:line="360" w:lineRule="auto"/>
        <w:rPr>
          <w:b w:val="0"/>
          <w:bCs/>
          <w:color w:val="auto"/>
          <w:sz w:val="24"/>
          <w:highlight w:val="none"/>
        </w:rPr>
      </w:pPr>
      <w:r>
        <w:rPr>
          <w:b w:val="0"/>
          <w:bCs/>
          <w:color w:val="auto"/>
          <w:sz w:val="24"/>
          <w:highlight w:val="none"/>
        </w:rPr>
        <w:t>单位</w:t>
      </w:r>
    </w:p>
    <w:p w14:paraId="7F0346ED">
      <w:pPr>
        <w:numPr>
          <w:ilvl w:val="0"/>
          <w:numId w:val="15"/>
        </w:numPr>
        <w:spacing w:line="360" w:lineRule="auto"/>
        <w:rPr>
          <w:b w:val="0"/>
          <w:bCs/>
          <w:color w:val="auto"/>
          <w:sz w:val="24"/>
          <w:highlight w:val="none"/>
        </w:rPr>
      </w:pPr>
      <w:r>
        <w:rPr>
          <w:rFonts w:hint="eastAsia"/>
          <w:b w:val="0"/>
          <w:bCs/>
          <w:color w:val="auto"/>
          <w:sz w:val="24"/>
          <w:highlight w:val="none"/>
        </w:rPr>
        <w:t>数据类型</w:t>
      </w:r>
    </w:p>
    <w:p w14:paraId="7F0346EE">
      <w:pPr>
        <w:numPr>
          <w:ilvl w:val="0"/>
          <w:numId w:val="15"/>
        </w:numPr>
        <w:spacing w:line="360" w:lineRule="auto"/>
        <w:rPr>
          <w:b w:val="0"/>
          <w:bCs/>
          <w:color w:val="auto"/>
          <w:sz w:val="24"/>
          <w:highlight w:val="none"/>
        </w:rPr>
      </w:pPr>
      <w:r>
        <w:rPr>
          <w:b w:val="0"/>
          <w:bCs/>
          <w:color w:val="auto"/>
          <w:sz w:val="24"/>
          <w:highlight w:val="none"/>
        </w:rPr>
        <w:t>取值范围</w:t>
      </w:r>
    </w:p>
    <w:p w14:paraId="7F0346EF">
      <w:pPr>
        <w:numPr>
          <w:ilvl w:val="0"/>
          <w:numId w:val="15"/>
        </w:numPr>
        <w:spacing w:line="360" w:lineRule="auto"/>
        <w:rPr>
          <w:b w:val="0"/>
          <w:bCs/>
          <w:color w:val="auto"/>
          <w:sz w:val="24"/>
          <w:highlight w:val="none"/>
        </w:rPr>
      </w:pPr>
      <w:r>
        <w:rPr>
          <w:rFonts w:hint="eastAsia"/>
          <w:b w:val="0"/>
          <w:bCs/>
          <w:color w:val="auto"/>
          <w:sz w:val="24"/>
          <w:highlight w:val="none"/>
        </w:rPr>
        <w:t>允许的刷新周期范围</w:t>
      </w:r>
    </w:p>
    <w:p w14:paraId="7F0346F0">
      <w:pPr>
        <w:numPr>
          <w:ilvl w:val="0"/>
          <w:numId w:val="15"/>
        </w:numPr>
        <w:spacing w:line="360" w:lineRule="auto"/>
        <w:rPr>
          <w:b w:val="0"/>
          <w:bCs/>
          <w:color w:val="auto"/>
          <w:sz w:val="24"/>
          <w:highlight w:val="none"/>
        </w:rPr>
      </w:pPr>
      <w:r>
        <w:rPr>
          <w:b w:val="0"/>
          <w:bCs/>
          <w:color w:val="auto"/>
          <w:sz w:val="24"/>
          <w:highlight w:val="none"/>
        </w:rPr>
        <w:t>精度</w:t>
      </w:r>
    </w:p>
    <w:p w14:paraId="7F0346F1">
      <w:pPr>
        <w:numPr>
          <w:ilvl w:val="0"/>
          <w:numId w:val="15"/>
        </w:numPr>
        <w:spacing w:line="360" w:lineRule="auto"/>
        <w:rPr>
          <w:b w:val="0"/>
          <w:bCs/>
          <w:color w:val="auto"/>
          <w:sz w:val="24"/>
          <w:highlight w:val="none"/>
        </w:rPr>
      </w:pPr>
      <w:r>
        <w:rPr>
          <w:b w:val="0"/>
          <w:bCs/>
          <w:color w:val="auto"/>
          <w:sz w:val="24"/>
          <w:highlight w:val="none"/>
        </w:rPr>
        <w:t>读写属性（只读/可写）</w:t>
      </w:r>
    </w:p>
    <w:p w14:paraId="7F0346F2">
      <w:pPr>
        <w:numPr>
          <w:ilvl w:val="0"/>
          <w:numId w:val="15"/>
        </w:numPr>
        <w:spacing w:line="360" w:lineRule="auto"/>
        <w:rPr>
          <w:b w:val="0"/>
          <w:bCs/>
          <w:color w:val="auto"/>
          <w:sz w:val="24"/>
          <w:highlight w:val="none"/>
        </w:rPr>
      </w:pPr>
      <w:r>
        <w:rPr>
          <w:b w:val="0"/>
          <w:bCs/>
          <w:color w:val="auto"/>
          <w:sz w:val="24"/>
          <w:highlight w:val="none"/>
        </w:rPr>
        <w:t>写入方式、写入限制条件和设备端校验规则</w:t>
      </w:r>
    </w:p>
    <w:p w14:paraId="7F0346F3">
      <w:pPr>
        <w:numPr>
          <w:ilvl w:val="0"/>
          <w:numId w:val="15"/>
        </w:numPr>
        <w:spacing w:line="360" w:lineRule="auto"/>
        <w:rPr>
          <w:b w:val="0"/>
          <w:bCs/>
          <w:color w:val="auto"/>
          <w:sz w:val="24"/>
          <w:highlight w:val="none"/>
        </w:rPr>
      </w:pPr>
      <w:r>
        <w:rPr>
          <w:b w:val="0"/>
          <w:bCs/>
          <w:color w:val="auto"/>
          <w:sz w:val="24"/>
          <w:highlight w:val="none"/>
        </w:rPr>
        <w:t>报警阈值/状态定义</w:t>
      </w:r>
    </w:p>
    <w:p w14:paraId="7F0346F4">
      <w:pPr>
        <w:numPr>
          <w:ilvl w:val="0"/>
          <w:numId w:val="15"/>
        </w:numPr>
        <w:spacing w:line="360" w:lineRule="auto"/>
        <w:rPr>
          <w:b w:val="0"/>
          <w:bCs/>
          <w:color w:val="auto"/>
          <w:sz w:val="24"/>
          <w:highlight w:val="none"/>
        </w:rPr>
      </w:pPr>
      <w:r>
        <w:rPr>
          <w:rFonts w:hint="eastAsia"/>
          <w:b w:val="0"/>
          <w:bCs/>
          <w:color w:val="auto"/>
          <w:sz w:val="24"/>
          <w:highlight w:val="none"/>
        </w:rPr>
        <w:t>执行反馈内容</w:t>
      </w:r>
    </w:p>
    <w:p w14:paraId="7F0346F5">
      <w:pPr>
        <w:pStyle w:val="3"/>
        <w:numPr>
          <w:ilvl w:val="0"/>
          <w:numId w:val="14"/>
        </w:numPr>
        <w:rPr>
          <w:b w:val="0"/>
          <w:bCs/>
          <w:color w:val="auto"/>
          <w:sz w:val="32"/>
          <w:szCs w:val="32"/>
          <w:highlight w:val="none"/>
        </w:rPr>
      </w:pPr>
      <w:bookmarkStart w:id="950" w:name="_Toc26666"/>
      <w:r>
        <w:rPr>
          <w:rFonts w:hint="eastAsia"/>
          <w:b w:val="0"/>
          <w:bCs/>
          <w:color w:val="auto"/>
          <w:sz w:val="32"/>
          <w:szCs w:val="32"/>
          <w:highlight w:val="none"/>
        </w:rPr>
        <w:t>数据开放范围与内容</w:t>
      </w:r>
      <w:bookmarkEnd w:id="950"/>
    </w:p>
    <w:p w14:paraId="7F0346F6">
      <w:pPr>
        <w:spacing w:line="360" w:lineRule="auto"/>
        <w:ind w:firstLine="420"/>
        <w:rPr>
          <w:b w:val="0"/>
          <w:bCs/>
          <w:color w:val="auto"/>
          <w:sz w:val="24"/>
          <w:highlight w:val="none"/>
        </w:rPr>
      </w:pPr>
      <w:r>
        <w:rPr>
          <w:rFonts w:ascii="宋体" w:hAnsi="宋体" w:cs="宋体"/>
          <w:b w:val="0"/>
          <w:bCs/>
          <w:color w:val="auto"/>
          <w:sz w:val="24"/>
          <w:highlight w:val="none"/>
        </w:rPr>
        <w:t>投标方应开放满足设备运行监控、生产管理、自动化作业、质量追溯和系统集成所需的数据</w:t>
      </w:r>
      <w:r>
        <w:rPr>
          <w:rFonts w:hint="eastAsia"/>
          <w:b w:val="0"/>
          <w:bCs/>
          <w:color w:val="auto"/>
          <w:sz w:val="24"/>
          <w:highlight w:val="none"/>
        </w:rPr>
        <w:t>。</w:t>
      </w:r>
      <w:r>
        <w:rPr>
          <w:b w:val="0"/>
          <w:bCs/>
          <w:color w:val="auto"/>
          <w:sz w:val="24"/>
          <w:highlight w:val="none"/>
        </w:rPr>
        <w:t>数据类型至少包含</w:t>
      </w:r>
      <w:r>
        <w:rPr>
          <w:rFonts w:hint="eastAsia"/>
          <w:b w:val="0"/>
          <w:bCs/>
          <w:color w:val="auto"/>
          <w:sz w:val="24"/>
          <w:highlight w:val="none"/>
        </w:rPr>
        <w:t>以下内容</w:t>
      </w:r>
      <w:r>
        <w:rPr>
          <w:b w:val="0"/>
          <w:bCs/>
          <w:color w:val="auto"/>
          <w:sz w:val="24"/>
          <w:highlight w:val="none"/>
        </w:rPr>
        <w:t>：</w:t>
      </w:r>
    </w:p>
    <w:p w14:paraId="7F0346F7">
      <w:pPr>
        <w:spacing w:line="360" w:lineRule="auto"/>
        <w:rPr>
          <w:b w:val="0"/>
          <w:bCs/>
          <w:color w:val="auto"/>
          <w:sz w:val="24"/>
          <w:highlight w:val="none"/>
        </w:rPr>
      </w:pPr>
      <w:r>
        <w:rPr>
          <w:rFonts w:hint="eastAsia"/>
          <w:b w:val="0"/>
          <w:bCs/>
          <w:color w:val="auto"/>
          <w:sz w:val="24"/>
          <w:highlight w:val="none"/>
        </w:rPr>
        <w:t>（1）</w:t>
      </w:r>
      <w:r>
        <w:rPr>
          <w:b w:val="0"/>
          <w:bCs/>
          <w:color w:val="auto"/>
          <w:sz w:val="24"/>
          <w:highlight w:val="none"/>
        </w:rPr>
        <w:t>工艺过程数据</w:t>
      </w:r>
    </w:p>
    <w:p w14:paraId="7F0346F8">
      <w:pPr>
        <w:spacing w:line="360" w:lineRule="auto"/>
        <w:ind w:firstLine="420"/>
        <w:rPr>
          <w:b w:val="0"/>
          <w:bCs/>
          <w:color w:val="auto"/>
          <w:sz w:val="24"/>
          <w:highlight w:val="none"/>
        </w:rPr>
      </w:pPr>
      <w:r>
        <w:rPr>
          <w:rFonts w:hint="eastAsia"/>
          <w:b w:val="0"/>
          <w:bCs/>
          <w:color w:val="auto"/>
          <w:sz w:val="24"/>
          <w:highlight w:val="none"/>
        </w:rPr>
        <w:t>包括但不限于，</w:t>
      </w:r>
      <w:r>
        <w:rPr>
          <w:b w:val="0"/>
          <w:bCs/>
          <w:color w:val="auto"/>
          <w:sz w:val="24"/>
          <w:highlight w:val="none"/>
        </w:rPr>
        <w:t>功率、</w:t>
      </w:r>
      <w:r>
        <w:rPr>
          <w:rFonts w:hint="eastAsia"/>
          <w:b w:val="0"/>
          <w:bCs/>
          <w:color w:val="auto"/>
          <w:sz w:val="24"/>
          <w:highlight w:val="none"/>
        </w:rPr>
        <w:t>电流、电压、</w:t>
      </w:r>
      <w:r>
        <w:rPr>
          <w:b w:val="0"/>
          <w:bCs/>
          <w:color w:val="auto"/>
          <w:sz w:val="24"/>
          <w:highlight w:val="none"/>
        </w:rPr>
        <w:t>温度、真空度、气体流量、压力、冷却水流量</w:t>
      </w:r>
      <w:r>
        <w:rPr>
          <w:rFonts w:hint="eastAsia"/>
          <w:b w:val="0"/>
          <w:bCs/>
          <w:color w:val="auto"/>
          <w:sz w:val="24"/>
          <w:highlight w:val="none"/>
        </w:rPr>
        <w:t>、</w:t>
      </w:r>
      <w:r>
        <w:rPr>
          <w:b w:val="0"/>
          <w:bCs/>
          <w:color w:val="auto"/>
          <w:sz w:val="24"/>
          <w:highlight w:val="none"/>
        </w:rPr>
        <w:t>转速、位移、电流、电压、视频流</w:t>
      </w:r>
      <w:r>
        <w:rPr>
          <w:rFonts w:hint="eastAsia"/>
          <w:b w:val="0"/>
          <w:bCs/>
          <w:color w:val="auto"/>
          <w:sz w:val="24"/>
          <w:highlight w:val="none"/>
        </w:rPr>
        <w:t>或</w:t>
      </w:r>
      <w:r>
        <w:rPr>
          <w:b w:val="0"/>
          <w:bCs/>
          <w:color w:val="auto"/>
          <w:sz w:val="24"/>
          <w:highlight w:val="none"/>
        </w:rPr>
        <w:t>图片</w:t>
      </w:r>
      <w:r>
        <w:rPr>
          <w:rFonts w:hint="eastAsia"/>
          <w:b w:val="0"/>
          <w:bCs/>
          <w:color w:val="auto"/>
          <w:sz w:val="24"/>
          <w:highlight w:val="none"/>
        </w:rPr>
        <w:t>等生产过程中的实时数据</w:t>
      </w:r>
      <w:r>
        <w:rPr>
          <w:b w:val="0"/>
          <w:bCs/>
          <w:color w:val="auto"/>
          <w:sz w:val="24"/>
          <w:highlight w:val="none"/>
        </w:rPr>
        <w:t>。</w:t>
      </w:r>
    </w:p>
    <w:p w14:paraId="7F0346F9">
      <w:pPr>
        <w:spacing w:line="360" w:lineRule="auto"/>
        <w:rPr>
          <w:b w:val="0"/>
          <w:bCs/>
          <w:color w:val="auto"/>
          <w:sz w:val="24"/>
          <w:highlight w:val="none"/>
        </w:rPr>
      </w:pPr>
      <w:r>
        <w:rPr>
          <w:rFonts w:hint="eastAsia"/>
          <w:b w:val="0"/>
          <w:bCs/>
          <w:color w:val="auto"/>
          <w:sz w:val="24"/>
          <w:highlight w:val="none"/>
        </w:rPr>
        <w:t>（2）</w:t>
      </w:r>
      <w:r>
        <w:rPr>
          <w:b w:val="0"/>
          <w:bCs/>
          <w:color w:val="auto"/>
          <w:sz w:val="24"/>
          <w:highlight w:val="none"/>
        </w:rPr>
        <w:t>设备状态数据</w:t>
      </w:r>
    </w:p>
    <w:p w14:paraId="7F0346FA">
      <w:pPr>
        <w:spacing w:line="360" w:lineRule="auto"/>
        <w:ind w:firstLine="420"/>
        <w:rPr>
          <w:b w:val="0"/>
          <w:bCs/>
          <w:color w:val="auto"/>
          <w:sz w:val="24"/>
          <w:highlight w:val="none"/>
        </w:rPr>
      </w:pPr>
      <w:r>
        <w:rPr>
          <w:rFonts w:hint="eastAsia"/>
          <w:b w:val="0"/>
          <w:bCs/>
          <w:color w:val="auto"/>
          <w:sz w:val="24"/>
          <w:highlight w:val="none"/>
        </w:rPr>
        <w:t>包括但不限于，</w:t>
      </w:r>
      <w:r>
        <w:rPr>
          <w:b w:val="0"/>
          <w:bCs/>
          <w:color w:val="auto"/>
          <w:sz w:val="24"/>
          <w:highlight w:val="none"/>
        </w:rPr>
        <w:t>各子系统运行状态、模块在线状态、开关量状态、阀门状态、电机状态、仪表状态、电源状态、通讯状态</w:t>
      </w:r>
      <w:r>
        <w:rPr>
          <w:rFonts w:hint="eastAsia"/>
          <w:b w:val="0"/>
          <w:bCs/>
          <w:color w:val="auto"/>
          <w:sz w:val="24"/>
          <w:highlight w:val="none"/>
        </w:rPr>
        <w:t>、设备运行阶段等</w:t>
      </w:r>
      <w:r>
        <w:rPr>
          <w:b w:val="0"/>
          <w:bCs/>
          <w:color w:val="auto"/>
          <w:sz w:val="24"/>
          <w:highlight w:val="none"/>
        </w:rPr>
        <w:t>。</w:t>
      </w:r>
    </w:p>
    <w:p w14:paraId="7F0346FB">
      <w:pPr>
        <w:spacing w:line="360" w:lineRule="auto"/>
        <w:rPr>
          <w:b w:val="0"/>
          <w:bCs/>
          <w:color w:val="auto"/>
          <w:sz w:val="24"/>
          <w:highlight w:val="none"/>
        </w:rPr>
      </w:pPr>
      <w:r>
        <w:rPr>
          <w:rFonts w:hint="eastAsia"/>
          <w:b w:val="0"/>
          <w:bCs/>
          <w:color w:val="auto"/>
          <w:sz w:val="24"/>
          <w:highlight w:val="none"/>
        </w:rPr>
        <w:t>（3）</w:t>
      </w:r>
      <w:r>
        <w:rPr>
          <w:b w:val="0"/>
          <w:bCs/>
          <w:color w:val="auto"/>
          <w:sz w:val="24"/>
          <w:highlight w:val="none"/>
        </w:rPr>
        <w:t>报警与事件数据</w:t>
      </w:r>
    </w:p>
    <w:p w14:paraId="7F0346FC">
      <w:pPr>
        <w:spacing w:line="360" w:lineRule="auto"/>
        <w:ind w:firstLine="420"/>
        <w:rPr>
          <w:b w:val="0"/>
          <w:bCs/>
          <w:color w:val="auto"/>
          <w:sz w:val="24"/>
          <w:highlight w:val="none"/>
        </w:rPr>
      </w:pPr>
      <w:r>
        <w:rPr>
          <w:rFonts w:hint="eastAsia"/>
          <w:b w:val="0"/>
          <w:bCs/>
          <w:color w:val="auto"/>
          <w:sz w:val="24"/>
          <w:highlight w:val="none"/>
        </w:rPr>
        <w:t>包括但不限于，</w:t>
      </w:r>
      <w:r>
        <w:rPr>
          <w:b w:val="0"/>
          <w:bCs/>
          <w:color w:val="auto"/>
          <w:sz w:val="24"/>
          <w:highlight w:val="none"/>
        </w:rPr>
        <w:t>报警代码、报警内容、报警等级、发生时间、恢复时间、报警位置、报警确认状态、事件日志</w:t>
      </w:r>
      <w:r>
        <w:rPr>
          <w:rFonts w:hint="eastAsia"/>
          <w:b w:val="0"/>
          <w:bCs/>
          <w:color w:val="auto"/>
          <w:sz w:val="24"/>
          <w:highlight w:val="none"/>
        </w:rPr>
        <w:t>、异常停机原因、异常拒绝原因</w:t>
      </w:r>
      <w:r>
        <w:rPr>
          <w:b w:val="0"/>
          <w:bCs/>
          <w:color w:val="auto"/>
          <w:sz w:val="24"/>
          <w:highlight w:val="none"/>
        </w:rPr>
        <w:t>等。</w:t>
      </w:r>
    </w:p>
    <w:p w14:paraId="7F0346FD">
      <w:pPr>
        <w:spacing w:line="360" w:lineRule="auto"/>
        <w:rPr>
          <w:b w:val="0"/>
          <w:bCs/>
          <w:color w:val="auto"/>
          <w:sz w:val="24"/>
          <w:highlight w:val="none"/>
        </w:rPr>
      </w:pPr>
      <w:r>
        <w:rPr>
          <w:rFonts w:hint="eastAsia"/>
          <w:b w:val="0"/>
          <w:bCs/>
          <w:color w:val="auto"/>
          <w:sz w:val="24"/>
          <w:highlight w:val="none"/>
        </w:rPr>
        <w:t>（4）</w:t>
      </w:r>
      <w:r>
        <w:rPr>
          <w:b w:val="0"/>
          <w:bCs/>
          <w:color w:val="auto"/>
          <w:sz w:val="24"/>
          <w:highlight w:val="none"/>
        </w:rPr>
        <w:t>系统操作日志</w:t>
      </w:r>
    </w:p>
    <w:p w14:paraId="7F0346FE">
      <w:pPr>
        <w:spacing w:line="360" w:lineRule="auto"/>
        <w:ind w:firstLine="420"/>
        <w:rPr>
          <w:b w:val="0"/>
          <w:bCs/>
          <w:color w:val="auto"/>
          <w:sz w:val="24"/>
          <w:highlight w:val="none"/>
        </w:rPr>
      </w:pPr>
      <w:r>
        <w:rPr>
          <w:rFonts w:hint="eastAsia"/>
          <w:b w:val="0"/>
          <w:bCs/>
          <w:color w:val="auto"/>
          <w:sz w:val="24"/>
          <w:highlight w:val="none"/>
        </w:rPr>
        <w:t>包括但不限于，</w:t>
      </w:r>
      <w:r>
        <w:rPr>
          <w:b w:val="0"/>
          <w:bCs/>
          <w:color w:val="auto"/>
          <w:sz w:val="24"/>
          <w:highlight w:val="none"/>
        </w:rPr>
        <w:t>设备运行记录、报警记录、操作人记录、参数修改记录、登录登出记录、</w:t>
      </w:r>
      <w:r>
        <w:rPr>
          <w:rFonts w:hint="eastAsia"/>
          <w:b w:val="0"/>
          <w:bCs/>
          <w:color w:val="auto"/>
          <w:sz w:val="24"/>
          <w:highlight w:val="none"/>
        </w:rPr>
        <w:t>数据</w:t>
      </w:r>
      <w:r>
        <w:rPr>
          <w:b w:val="0"/>
          <w:bCs/>
          <w:color w:val="auto"/>
          <w:sz w:val="24"/>
          <w:highlight w:val="none"/>
        </w:rPr>
        <w:t>下发记录</w:t>
      </w:r>
      <w:r>
        <w:rPr>
          <w:rFonts w:hint="eastAsia"/>
          <w:b w:val="0"/>
          <w:bCs/>
          <w:color w:val="auto"/>
          <w:sz w:val="24"/>
          <w:highlight w:val="none"/>
        </w:rPr>
        <w:t>、任务接受记录、执行请求记录</w:t>
      </w:r>
      <w:r>
        <w:rPr>
          <w:b w:val="0"/>
          <w:bCs/>
          <w:color w:val="auto"/>
          <w:sz w:val="24"/>
          <w:highlight w:val="none"/>
        </w:rPr>
        <w:t>等。</w:t>
      </w:r>
    </w:p>
    <w:p w14:paraId="7F0346FF">
      <w:pPr>
        <w:spacing w:line="360" w:lineRule="auto"/>
        <w:rPr>
          <w:b w:val="0"/>
          <w:bCs/>
          <w:color w:val="auto"/>
          <w:sz w:val="24"/>
          <w:highlight w:val="none"/>
        </w:rPr>
      </w:pPr>
      <w:r>
        <w:rPr>
          <w:rFonts w:hint="eastAsia"/>
          <w:b w:val="0"/>
          <w:bCs/>
          <w:color w:val="auto"/>
          <w:sz w:val="24"/>
          <w:highlight w:val="none"/>
        </w:rPr>
        <w:t>（5）</w:t>
      </w:r>
      <w:r>
        <w:rPr>
          <w:b w:val="0"/>
          <w:bCs/>
          <w:color w:val="auto"/>
          <w:sz w:val="24"/>
          <w:highlight w:val="none"/>
        </w:rPr>
        <w:t>能耗数据</w:t>
      </w:r>
    </w:p>
    <w:p w14:paraId="7F034700">
      <w:pPr>
        <w:spacing w:line="360" w:lineRule="auto"/>
        <w:ind w:firstLine="420"/>
        <w:rPr>
          <w:b w:val="0"/>
          <w:bCs/>
          <w:color w:val="auto"/>
          <w:sz w:val="24"/>
          <w:highlight w:val="none"/>
        </w:rPr>
      </w:pPr>
      <w:r>
        <w:rPr>
          <w:b w:val="0"/>
          <w:bCs/>
          <w:color w:val="auto"/>
          <w:sz w:val="24"/>
          <w:highlight w:val="none"/>
        </w:rPr>
        <w:t>电、水、气等各类输入能源的实时消耗、累计消耗、功率、瞬时流量等。</w:t>
      </w:r>
    </w:p>
    <w:p w14:paraId="7F034701">
      <w:pPr>
        <w:spacing w:line="360" w:lineRule="auto"/>
        <w:rPr>
          <w:b w:val="0"/>
          <w:bCs/>
          <w:color w:val="auto"/>
          <w:sz w:val="24"/>
          <w:highlight w:val="none"/>
        </w:rPr>
      </w:pPr>
      <w:r>
        <w:rPr>
          <w:rFonts w:hint="eastAsia"/>
          <w:b w:val="0"/>
          <w:bCs/>
          <w:color w:val="auto"/>
          <w:sz w:val="24"/>
          <w:highlight w:val="none"/>
        </w:rPr>
        <w:t>（6）</w:t>
      </w:r>
      <w:r>
        <w:rPr>
          <w:b w:val="0"/>
          <w:bCs/>
          <w:color w:val="auto"/>
          <w:sz w:val="24"/>
          <w:highlight w:val="none"/>
        </w:rPr>
        <w:t>产品与工艺信息</w:t>
      </w:r>
    </w:p>
    <w:p w14:paraId="7F034702">
      <w:pPr>
        <w:spacing w:line="360" w:lineRule="auto"/>
        <w:ind w:firstLine="420"/>
        <w:rPr>
          <w:b w:val="0"/>
          <w:bCs/>
          <w:color w:val="auto"/>
          <w:sz w:val="24"/>
          <w:highlight w:val="none"/>
        </w:rPr>
      </w:pPr>
      <w:r>
        <w:rPr>
          <w:b w:val="0"/>
          <w:bCs/>
          <w:color w:val="auto"/>
          <w:sz w:val="24"/>
          <w:highlight w:val="none"/>
        </w:rPr>
        <w:t>包括但不限于，批次号、产品编号、工艺号、配方号、开始/结束时间</w:t>
      </w:r>
      <w:r>
        <w:rPr>
          <w:rFonts w:hint="eastAsia"/>
          <w:b w:val="0"/>
          <w:bCs/>
          <w:color w:val="auto"/>
          <w:sz w:val="24"/>
          <w:highlight w:val="none"/>
        </w:rPr>
        <w:t>以及</w:t>
      </w:r>
      <w:r>
        <w:rPr>
          <w:b w:val="0"/>
          <w:bCs/>
          <w:color w:val="auto"/>
          <w:sz w:val="24"/>
          <w:highlight w:val="none"/>
        </w:rPr>
        <w:t>物料信息等由外部系统下发与生产过程和质量追溯相关的信息。该类信息可由采购方上位机、MES、SCADA 或其他外部系统下发至设备，也应能够与设备运行过程数据、状态数据、报警数据、操作日志和执行结果关联后上传至上层系统。</w:t>
      </w:r>
    </w:p>
    <w:p w14:paraId="7F034703">
      <w:pPr>
        <w:pStyle w:val="3"/>
        <w:numPr>
          <w:ilvl w:val="0"/>
          <w:numId w:val="14"/>
        </w:numPr>
        <w:rPr>
          <w:b w:val="0"/>
          <w:bCs/>
          <w:color w:val="auto"/>
          <w:sz w:val="32"/>
          <w:szCs w:val="32"/>
          <w:highlight w:val="none"/>
        </w:rPr>
      </w:pPr>
      <w:bookmarkStart w:id="951" w:name="_Toc5144"/>
      <w:r>
        <w:rPr>
          <w:rFonts w:hint="eastAsia"/>
          <w:b w:val="0"/>
          <w:bCs/>
          <w:color w:val="auto"/>
          <w:sz w:val="32"/>
          <w:szCs w:val="32"/>
          <w:highlight w:val="none"/>
        </w:rPr>
        <w:t>系统集成与自动化作业能力</w:t>
      </w:r>
      <w:bookmarkEnd w:id="951"/>
    </w:p>
    <w:p w14:paraId="7F034704">
      <w:pPr>
        <w:spacing w:line="360" w:lineRule="auto"/>
        <w:ind w:left="480" w:hanging="480" w:hangingChars="200"/>
        <w:rPr>
          <w:b w:val="0"/>
          <w:bCs/>
          <w:color w:val="auto"/>
          <w:sz w:val="24"/>
          <w:highlight w:val="none"/>
        </w:rPr>
      </w:pPr>
      <w:r>
        <w:rPr>
          <w:rFonts w:hint="eastAsia"/>
          <w:b w:val="0"/>
          <w:bCs/>
          <w:color w:val="auto"/>
          <w:sz w:val="24"/>
          <w:highlight w:val="none"/>
        </w:rPr>
        <w:t>（1）接口应</w:t>
      </w:r>
      <w:r>
        <w:rPr>
          <w:b w:val="0"/>
          <w:bCs/>
          <w:color w:val="auto"/>
          <w:sz w:val="24"/>
          <w:highlight w:val="none"/>
        </w:rPr>
        <w:t>支持与 MES、SCADA、质量追溯、数字孪生等外部系统进行数据集成，实现设备运行数据上传、报警事件上送、生产任务下发、</w:t>
      </w:r>
      <w:r>
        <w:rPr>
          <w:rFonts w:hint="eastAsia"/>
          <w:b w:val="0"/>
          <w:bCs/>
          <w:color w:val="auto"/>
          <w:sz w:val="24"/>
          <w:highlight w:val="none"/>
        </w:rPr>
        <w:t>批次信息下发、</w:t>
      </w:r>
      <w:r>
        <w:rPr>
          <w:b w:val="0"/>
          <w:bCs/>
          <w:color w:val="auto"/>
          <w:sz w:val="24"/>
          <w:highlight w:val="none"/>
        </w:rPr>
        <w:t>工艺参数下发、执行状态反馈和过程数据追溯</w:t>
      </w:r>
      <w:r>
        <w:rPr>
          <w:rFonts w:hint="eastAsia"/>
          <w:b w:val="0"/>
          <w:bCs/>
          <w:color w:val="auto"/>
          <w:sz w:val="24"/>
          <w:highlight w:val="none"/>
        </w:rPr>
        <w:t>等功能</w:t>
      </w:r>
      <w:r>
        <w:rPr>
          <w:b w:val="0"/>
          <w:bCs/>
          <w:color w:val="auto"/>
          <w:sz w:val="24"/>
          <w:highlight w:val="none"/>
        </w:rPr>
        <w:t>。</w:t>
      </w:r>
    </w:p>
    <w:p w14:paraId="7F034705">
      <w:pPr>
        <w:spacing w:line="360" w:lineRule="auto"/>
        <w:ind w:left="480" w:hanging="480" w:hangingChars="200"/>
        <w:rPr>
          <w:b w:val="0"/>
          <w:bCs/>
          <w:color w:val="auto"/>
          <w:sz w:val="24"/>
          <w:highlight w:val="none"/>
        </w:rPr>
      </w:pPr>
      <w:r>
        <w:rPr>
          <w:rFonts w:hint="eastAsia"/>
          <w:b w:val="0"/>
          <w:bCs/>
          <w:color w:val="auto"/>
          <w:sz w:val="24"/>
          <w:highlight w:val="none"/>
        </w:rPr>
        <w:t>（2）</w:t>
      </w:r>
      <w:r>
        <w:rPr>
          <w:b w:val="0"/>
          <w:bCs/>
          <w:color w:val="auto"/>
          <w:sz w:val="24"/>
          <w:highlight w:val="none"/>
        </w:rPr>
        <w:t>对于批次号、产品编号、物料编号、工艺号、配方号等与产品生产和质量追溯高度相关的数据，应</w:t>
      </w:r>
      <w:r>
        <w:rPr>
          <w:rFonts w:hint="eastAsia"/>
          <w:b w:val="0"/>
          <w:bCs/>
          <w:color w:val="auto"/>
          <w:sz w:val="24"/>
          <w:highlight w:val="none"/>
        </w:rPr>
        <w:t>采用“外部</w:t>
      </w:r>
      <w:r>
        <w:rPr>
          <w:b w:val="0"/>
          <w:bCs/>
          <w:color w:val="auto"/>
          <w:sz w:val="24"/>
          <w:highlight w:val="none"/>
        </w:rPr>
        <w:t>系统下发—设备端接收绑定—生产过程中关联记录—生产完成后回传结果</w:t>
      </w:r>
      <w:r>
        <w:rPr>
          <w:rFonts w:hint="eastAsia"/>
          <w:b w:val="0"/>
          <w:bCs/>
          <w:color w:val="auto"/>
          <w:sz w:val="24"/>
          <w:highlight w:val="none"/>
        </w:rPr>
        <w:t>”</w:t>
      </w:r>
      <w:r>
        <w:rPr>
          <w:b w:val="0"/>
          <w:bCs/>
          <w:color w:val="auto"/>
          <w:sz w:val="24"/>
          <w:highlight w:val="none"/>
        </w:rPr>
        <w:t>的数据流方式。设备在运行过程中产生的过程数据、状态数据、报警数据、操作日志、工艺执行结果等，应能够关联对应的批次号</w:t>
      </w:r>
      <w:r>
        <w:rPr>
          <w:rFonts w:hint="eastAsia"/>
          <w:b w:val="0"/>
          <w:bCs/>
          <w:color w:val="auto"/>
          <w:sz w:val="24"/>
          <w:highlight w:val="none"/>
        </w:rPr>
        <w:t>或</w:t>
      </w:r>
      <w:r>
        <w:rPr>
          <w:b w:val="0"/>
          <w:bCs/>
          <w:color w:val="auto"/>
          <w:sz w:val="24"/>
          <w:highlight w:val="none"/>
        </w:rPr>
        <w:t>产品编号等信息，并随数据上传至上层系统，用于生产追溯、质量分析和工艺管理。</w:t>
      </w:r>
    </w:p>
    <w:p w14:paraId="7F034706">
      <w:pPr>
        <w:spacing w:line="360" w:lineRule="auto"/>
        <w:ind w:left="480" w:hanging="480" w:hangingChars="200"/>
        <w:rPr>
          <w:b w:val="0"/>
          <w:bCs/>
          <w:color w:val="auto"/>
          <w:sz w:val="24"/>
          <w:highlight w:val="none"/>
        </w:rPr>
      </w:pPr>
      <w:r>
        <w:rPr>
          <w:rFonts w:hint="eastAsia"/>
          <w:b w:val="0"/>
          <w:bCs/>
          <w:color w:val="auto"/>
          <w:sz w:val="24"/>
          <w:highlight w:val="none"/>
        </w:rPr>
        <w:t>（3）接口应支持采购方进行“自动化作业”改造，所谓“自动化作业”是指采购方的上位机或外部系统能够按照预设流程，调用设备控制系统开放且允许的接口功能，替代或减少操作人员在设备上位机、触摸屏或操作面板中进行的常规选择、确认、加载、设备操作、启动请求和状态查询等操作，</w:t>
      </w:r>
      <w:r>
        <w:rPr>
          <w:b w:val="0"/>
          <w:bCs/>
          <w:color w:val="auto"/>
          <w:sz w:val="24"/>
          <w:highlight w:val="none"/>
        </w:rPr>
        <w:t>从而实现生产任务的自动执行</w:t>
      </w:r>
      <w:r>
        <w:rPr>
          <w:rFonts w:hint="eastAsia"/>
          <w:b w:val="0"/>
          <w:bCs/>
          <w:color w:val="auto"/>
          <w:sz w:val="24"/>
          <w:highlight w:val="none"/>
        </w:rPr>
        <w:t>。</w:t>
      </w:r>
    </w:p>
    <w:p w14:paraId="7F034707">
      <w:pPr>
        <w:pStyle w:val="3"/>
        <w:numPr>
          <w:ilvl w:val="0"/>
          <w:numId w:val="14"/>
        </w:numPr>
        <w:rPr>
          <w:b w:val="0"/>
          <w:bCs/>
          <w:color w:val="auto"/>
          <w:sz w:val="32"/>
          <w:szCs w:val="32"/>
          <w:highlight w:val="none"/>
        </w:rPr>
      </w:pPr>
      <w:bookmarkStart w:id="952" w:name="_Toc12313"/>
      <w:r>
        <w:rPr>
          <w:rFonts w:hint="eastAsia"/>
          <w:b w:val="0"/>
          <w:bCs/>
          <w:color w:val="auto"/>
          <w:sz w:val="32"/>
          <w:szCs w:val="32"/>
          <w:highlight w:val="none"/>
        </w:rPr>
        <w:t>时间同步与时间戳</w:t>
      </w:r>
      <w:bookmarkEnd w:id="952"/>
    </w:p>
    <w:p w14:paraId="7F034708">
      <w:pPr>
        <w:spacing w:line="360" w:lineRule="auto"/>
        <w:rPr>
          <w:b w:val="0"/>
          <w:bCs/>
          <w:color w:val="auto"/>
          <w:sz w:val="24"/>
          <w:highlight w:val="none"/>
        </w:rPr>
      </w:pPr>
      <w:r>
        <w:rPr>
          <w:rFonts w:hint="eastAsia"/>
          <w:b w:val="0"/>
          <w:bCs/>
          <w:color w:val="auto"/>
          <w:sz w:val="24"/>
          <w:highlight w:val="none"/>
        </w:rPr>
        <w:t>（1）</w:t>
      </w:r>
      <w:r>
        <w:rPr>
          <w:b w:val="0"/>
          <w:bCs/>
          <w:color w:val="auto"/>
          <w:sz w:val="24"/>
          <w:highlight w:val="none"/>
        </w:rPr>
        <w:t>设备必须支持NTP网络校时，与工厂服务器自动同步</w:t>
      </w:r>
      <w:r>
        <w:rPr>
          <w:rFonts w:hint="eastAsia"/>
          <w:b w:val="0"/>
          <w:bCs/>
          <w:color w:val="auto"/>
          <w:sz w:val="24"/>
          <w:highlight w:val="none"/>
        </w:rPr>
        <w:t>时间</w:t>
      </w:r>
      <w:r>
        <w:rPr>
          <w:b w:val="0"/>
          <w:bCs/>
          <w:color w:val="auto"/>
          <w:sz w:val="24"/>
          <w:highlight w:val="none"/>
        </w:rPr>
        <w:t>。</w:t>
      </w:r>
    </w:p>
    <w:p w14:paraId="7F034709">
      <w:pPr>
        <w:spacing w:line="360" w:lineRule="auto"/>
        <w:rPr>
          <w:b w:val="0"/>
          <w:bCs/>
          <w:color w:val="auto"/>
          <w:sz w:val="24"/>
          <w:highlight w:val="none"/>
        </w:rPr>
      </w:pPr>
      <w:r>
        <w:rPr>
          <w:rFonts w:hint="eastAsia"/>
          <w:b w:val="0"/>
          <w:bCs/>
          <w:color w:val="auto"/>
          <w:sz w:val="24"/>
          <w:highlight w:val="none"/>
        </w:rPr>
        <w:t>（2）</w:t>
      </w:r>
      <w:r>
        <w:rPr>
          <w:b w:val="0"/>
          <w:bCs/>
          <w:color w:val="auto"/>
          <w:sz w:val="24"/>
          <w:highlight w:val="none"/>
        </w:rPr>
        <w:t>所有带时钟</w:t>
      </w:r>
      <w:r>
        <w:rPr>
          <w:rFonts w:hint="eastAsia"/>
          <w:b w:val="0"/>
          <w:bCs/>
          <w:color w:val="auto"/>
          <w:sz w:val="24"/>
          <w:highlight w:val="none"/>
        </w:rPr>
        <w:t>的</w:t>
      </w:r>
      <w:r>
        <w:rPr>
          <w:b w:val="0"/>
          <w:bCs/>
          <w:color w:val="auto"/>
          <w:sz w:val="24"/>
          <w:highlight w:val="none"/>
        </w:rPr>
        <w:t>硬件时间必须统一，误差</w:t>
      </w:r>
      <w:r>
        <w:rPr>
          <w:rFonts w:hint="eastAsia"/>
          <w:b w:val="0"/>
          <w:bCs/>
          <w:color w:val="auto"/>
          <w:sz w:val="24"/>
          <w:highlight w:val="none"/>
        </w:rPr>
        <w:t>在采购方允许的范围内</w:t>
      </w:r>
      <w:r>
        <w:rPr>
          <w:b w:val="0"/>
          <w:bCs/>
          <w:color w:val="auto"/>
          <w:sz w:val="24"/>
          <w:highlight w:val="none"/>
        </w:rPr>
        <w:t>。</w:t>
      </w:r>
    </w:p>
    <w:p w14:paraId="7F03470A">
      <w:pPr>
        <w:spacing w:line="360" w:lineRule="auto"/>
        <w:ind w:left="480" w:hanging="480" w:hangingChars="200"/>
        <w:rPr>
          <w:b w:val="0"/>
          <w:bCs/>
          <w:color w:val="auto"/>
          <w:sz w:val="24"/>
          <w:highlight w:val="none"/>
        </w:rPr>
      </w:pPr>
      <w:r>
        <w:rPr>
          <w:rFonts w:hint="eastAsia"/>
          <w:b w:val="0"/>
          <w:bCs/>
          <w:color w:val="auto"/>
          <w:sz w:val="24"/>
          <w:highlight w:val="none"/>
        </w:rPr>
        <w:t>（3）</w:t>
      </w:r>
      <w:r>
        <w:rPr>
          <w:b w:val="0"/>
          <w:bCs/>
          <w:color w:val="auto"/>
          <w:sz w:val="24"/>
          <w:highlight w:val="none"/>
        </w:rPr>
        <w:t>所有数据必须带统一、精准</w:t>
      </w:r>
      <w:r>
        <w:rPr>
          <w:rFonts w:hint="eastAsia"/>
          <w:b w:val="0"/>
          <w:bCs/>
          <w:color w:val="auto"/>
          <w:sz w:val="24"/>
          <w:highlight w:val="none"/>
        </w:rPr>
        <w:t>的</w:t>
      </w:r>
      <w:r>
        <w:rPr>
          <w:b w:val="0"/>
          <w:bCs/>
          <w:color w:val="auto"/>
          <w:sz w:val="24"/>
          <w:highlight w:val="none"/>
        </w:rPr>
        <w:t>时间戳，时间戳</w:t>
      </w:r>
      <w:r>
        <w:rPr>
          <w:rFonts w:hint="eastAsia"/>
          <w:b w:val="0"/>
          <w:bCs/>
          <w:color w:val="auto"/>
          <w:sz w:val="24"/>
          <w:highlight w:val="none"/>
        </w:rPr>
        <w:t>必须</w:t>
      </w:r>
      <w:r>
        <w:rPr>
          <w:b w:val="0"/>
          <w:bCs/>
          <w:color w:val="auto"/>
          <w:sz w:val="24"/>
          <w:highlight w:val="none"/>
        </w:rPr>
        <w:t>为数据产生时刻，</w:t>
      </w:r>
      <w:r>
        <w:rPr>
          <w:rFonts w:hint="eastAsia"/>
          <w:b w:val="0"/>
          <w:bCs/>
          <w:color w:val="auto"/>
          <w:sz w:val="24"/>
          <w:highlight w:val="none"/>
        </w:rPr>
        <w:t>而</w:t>
      </w:r>
      <w:r>
        <w:rPr>
          <w:b w:val="0"/>
          <w:bCs/>
          <w:color w:val="auto"/>
          <w:sz w:val="24"/>
          <w:highlight w:val="none"/>
        </w:rPr>
        <w:t>非系统接收时刻。</w:t>
      </w:r>
    </w:p>
    <w:p w14:paraId="7F03470B">
      <w:pPr>
        <w:pStyle w:val="3"/>
        <w:numPr>
          <w:ilvl w:val="0"/>
          <w:numId w:val="14"/>
        </w:numPr>
        <w:rPr>
          <w:b w:val="0"/>
          <w:bCs/>
          <w:color w:val="auto"/>
          <w:sz w:val="32"/>
          <w:szCs w:val="32"/>
          <w:highlight w:val="none"/>
        </w:rPr>
      </w:pPr>
      <w:bookmarkStart w:id="953" w:name="_Toc6756"/>
      <w:r>
        <w:rPr>
          <w:rFonts w:hint="eastAsia"/>
          <w:b w:val="0"/>
          <w:bCs/>
          <w:color w:val="auto"/>
          <w:sz w:val="32"/>
          <w:szCs w:val="32"/>
          <w:highlight w:val="none"/>
        </w:rPr>
        <w:t>数据质量与稳定性要求</w:t>
      </w:r>
      <w:bookmarkEnd w:id="953"/>
    </w:p>
    <w:p w14:paraId="7F03470C">
      <w:pPr>
        <w:ind w:firstLine="420"/>
        <w:rPr>
          <w:rFonts w:hint="eastAsia" w:ascii="宋体" w:hAnsi="宋体"/>
          <w:b w:val="0"/>
          <w:bCs/>
          <w:color w:val="auto"/>
          <w:sz w:val="24"/>
          <w:highlight w:val="none"/>
        </w:rPr>
      </w:pPr>
      <w:r>
        <w:rPr>
          <w:rFonts w:hint="eastAsia" w:ascii="宋体" w:hAnsi="宋体"/>
          <w:b w:val="0"/>
          <w:bCs/>
          <w:color w:val="auto"/>
          <w:sz w:val="24"/>
          <w:highlight w:val="none"/>
        </w:rPr>
        <w:t>接口所提供的数据必须满足以下需求：</w:t>
      </w:r>
    </w:p>
    <w:p w14:paraId="7F03470D">
      <w:pPr>
        <w:spacing w:line="360" w:lineRule="auto"/>
        <w:rPr>
          <w:b w:val="0"/>
          <w:bCs/>
          <w:color w:val="auto"/>
          <w:sz w:val="24"/>
          <w:highlight w:val="none"/>
        </w:rPr>
      </w:pPr>
      <w:r>
        <w:rPr>
          <w:rFonts w:hint="eastAsia"/>
          <w:b w:val="0"/>
          <w:bCs/>
          <w:color w:val="auto"/>
          <w:sz w:val="24"/>
          <w:highlight w:val="none"/>
        </w:rPr>
        <w:t>（1）</w:t>
      </w:r>
      <w:r>
        <w:rPr>
          <w:b w:val="0"/>
          <w:bCs/>
          <w:color w:val="auto"/>
          <w:sz w:val="24"/>
          <w:highlight w:val="none"/>
        </w:rPr>
        <w:t>数据完整性：无丢失、无遗漏、无缺包，全量采集。</w:t>
      </w:r>
    </w:p>
    <w:p w14:paraId="7F03470E">
      <w:pPr>
        <w:spacing w:line="360" w:lineRule="auto"/>
        <w:rPr>
          <w:b w:val="0"/>
          <w:bCs/>
          <w:color w:val="auto"/>
          <w:sz w:val="24"/>
          <w:highlight w:val="none"/>
        </w:rPr>
      </w:pPr>
      <w:r>
        <w:rPr>
          <w:rFonts w:hint="eastAsia"/>
          <w:b w:val="0"/>
          <w:bCs/>
          <w:color w:val="auto"/>
          <w:sz w:val="24"/>
          <w:highlight w:val="none"/>
        </w:rPr>
        <w:t>（2）</w:t>
      </w:r>
      <w:r>
        <w:rPr>
          <w:b w:val="0"/>
          <w:bCs/>
          <w:color w:val="auto"/>
          <w:sz w:val="24"/>
          <w:highlight w:val="none"/>
        </w:rPr>
        <w:t>数据准确性：与现场仪表、上位机显示一致，误差满足工艺要求。</w:t>
      </w:r>
    </w:p>
    <w:p w14:paraId="7F03470F">
      <w:pPr>
        <w:spacing w:line="360" w:lineRule="auto"/>
        <w:rPr>
          <w:b w:val="0"/>
          <w:bCs/>
          <w:color w:val="auto"/>
          <w:sz w:val="24"/>
          <w:highlight w:val="none"/>
        </w:rPr>
      </w:pPr>
      <w:r>
        <w:rPr>
          <w:rFonts w:hint="eastAsia"/>
          <w:b w:val="0"/>
          <w:bCs/>
          <w:color w:val="auto"/>
          <w:sz w:val="24"/>
          <w:highlight w:val="none"/>
        </w:rPr>
        <w:t>（3）</w:t>
      </w:r>
      <w:r>
        <w:rPr>
          <w:b w:val="0"/>
          <w:bCs/>
          <w:color w:val="auto"/>
          <w:sz w:val="24"/>
          <w:highlight w:val="none"/>
        </w:rPr>
        <w:t>实时性：关键过程数据采集频率应满足工艺监控要求，原则上不低于设备上位机或控制系统自身刷新/记录频率。温度、压力、真空度、功率、电流、电压、转速、流量等关键数据的采集周期由双方根据设备类型和工艺要求在数据点表中明确；报警数据应实时上送。</w:t>
      </w:r>
    </w:p>
    <w:p w14:paraId="7F034710">
      <w:pPr>
        <w:spacing w:line="360" w:lineRule="auto"/>
        <w:rPr>
          <w:b w:val="0"/>
          <w:bCs/>
          <w:color w:val="auto"/>
          <w:sz w:val="24"/>
          <w:highlight w:val="none"/>
        </w:rPr>
      </w:pPr>
      <w:r>
        <w:rPr>
          <w:rFonts w:hint="eastAsia"/>
          <w:b w:val="0"/>
          <w:bCs/>
          <w:color w:val="auto"/>
          <w:sz w:val="24"/>
          <w:highlight w:val="none"/>
        </w:rPr>
        <w:t>（4）</w:t>
      </w:r>
      <w:r>
        <w:rPr>
          <w:b w:val="0"/>
          <w:bCs/>
          <w:color w:val="auto"/>
          <w:sz w:val="24"/>
          <w:highlight w:val="none"/>
        </w:rPr>
        <w:t>断线缓存：支持网络中断时本地缓存，恢复后自动补传，不丢失数据。</w:t>
      </w:r>
    </w:p>
    <w:p w14:paraId="7F034711">
      <w:pPr>
        <w:spacing w:line="360" w:lineRule="auto"/>
        <w:rPr>
          <w:b w:val="0"/>
          <w:bCs/>
          <w:color w:val="auto"/>
          <w:sz w:val="24"/>
          <w:highlight w:val="none"/>
        </w:rPr>
      </w:pPr>
      <w:r>
        <w:rPr>
          <w:rFonts w:hint="eastAsia"/>
          <w:b w:val="0"/>
          <w:bCs/>
          <w:color w:val="auto"/>
          <w:sz w:val="24"/>
          <w:highlight w:val="none"/>
        </w:rPr>
        <w:t>（5）</w:t>
      </w:r>
      <w:r>
        <w:rPr>
          <w:b w:val="0"/>
          <w:bCs/>
          <w:color w:val="auto"/>
          <w:sz w:val="24"/>
          <w:highlight w:val="none"/>
        </w:rPr>
        <w:t>自动重连：网络异常恢复后，接口自动重连，无需人工干预。</w:t>
      </w:r>
    </w:p>
    <w:p w14:paraId="7F034712">
      <w:pPr>
        <w:spacing w:line="360" w:lineRule="auto"/>
        <w:rPr>
          <w:b w:val="0"/>
          <w:bCs/>
          <w:color w:val="auto"/>
          <w:sz w:val="24"/>
          <w:highlight w:val="none"/>
        </w:rPr>
      </w:pPr>
      <w:r>
        <w:rPr>
          <w:rFonts w:hint="eastAsia"/>
          <w:b w:val="0"/>
          <w:bCs/>
          <w:color w:val="auto"/>
          <w:sz w:val="24"/>
          <w:highlight w:val="none"/>
        </w:rPr>
        <w:t>（6）</w:t>
      </w:r>
      <w:r>
        <w:rPr>
          <w:b w:val="0"/>
          <w:bCs/>
          <w:color w:val="auto"/>
          <w:sz w:val="24"/>
          <w:highlight w:val="none"/>
        </w:rPr>
        <w:t>数据校验：支持数据校验，保证传输可靠。</w:t>
      </w:r>
    </w:p>
    <w:p w14:paraId="7F034713">
      <w:pPr>
        <w:pStyle w:val="3"/>
        <w:numPr>
          <w:ilvl w:val="0"/>
          <w:numId w:val="14"/>
        </w:numPr>
        <w:rPr>
          <w:b w:val="0"/>
          <w:bCs/>
          <w:color w:val="auto"/>
          <w:sz w:val="32"/>
          <w:szCs w:val="32"/>
          <w:highlight w:val="none"/>
        </w:rPr>
      </w:pPr>
      <w:bookmarkStart w:id="954" w:name="_Toc1933"/>
      <w:r>
        <w:rPr>
          <w:rFonts w:hint="eastAsia"/>
          <w:b w:val="0"/>
          <w:bCs/>
          <w:color w:val="auto"/>
          <w:sz w:val="32"/>
          <w:szCs w:val="32"/>
          <w:highlight w:val="none"/>
        </w:rPr>
        <w:t>安全与权限要求</w:t>
      </w:r>
      <w:bookmarkEnd w:id="954"/>
    </w:p>
    <w:p w14:paraId="7F034714">
      <w:pPr>
        <w:spacing w:line="360" w:lineRule="auto"/>
        <w:rPr>
          <w:b w:val="0"/>
          <w:bCs/>
          <w:color w:val="auto"/>
          <w:sz w:val="24"/>
          <w:highlight w:val="none"/>
        </w:rPr>
      </w:pPr>
      <w:r>
        <w:rPr>
          <w:rFonts w:hint="eastAsia"/>
          <w:b w:val="0"/>
          <w:bCs/>
          <w:color w:val="auto"/>
          <w:sz w:val="24"/>
          <w:highlight w:val="none"/>
        </w:rPr>
        <w:t>（1）</w:t>
      </w:r>
      <w:r>
        <w:rPr>
          <w:b w:val="0"/>
          <w:bCs/>
          <w:color w:val="auto"/>
          <w:sz w:val="24"/>
          <w:highlight w:val="none"/>
        </w:rPr>
        <w:t>支持用户权限、角色权限、指令权限分级管理。</w:t>
      </w:r>
    </w:p>
    <w:p w14:paraId="7F034715">
      <w:pPr>
        <w:spacing w:line="360" w:lineRule="auto"/>
        <w:rPr>
          <w:b w:val="0"/>
          <w:bCs/>
          <w:color w:val="auto"/>
          <w:sz w:val="24"/>
          <w:highlight w:val="none"/>
        </w:rPr>
      </w:pPr>
      <w:r>
        <w:rPr>
          <w:rFonts w:hint="eastAsia"/>
          <w:b w:val="0"/>
          <w:bCs/>
          <w:color w:val="auto"/>
          <w:sz w:val="24"/>
          <w:highlight w:val="none"/>
        </w:rPr>
        <w:t>（2）</w:t>
      </w:r>
      <w:r>
        <w:rPr>
          <w:b w:val="0"/>
          <w:bCs/>
          <w:color w:val="auto"/>
          <w:sz w:val="24"/>
          <w:highlight w:val="none"/>
        </w:rPr>
        <w:t>对涉及数据</w:t>
      </w:r>
      <w:r>
        <w:rPr>
          <w:rFonts w:hint="eastAsia"/>
          <w:b w:val="0"/>
          <w:bCs/>
          <w:color w:val="auto"/>
          <w:sz w:val="24"/>
          <w:highlight w:val="none"/>
        </w:rPr>
        <w:t>下发</w:t>
      </w:r>
      <w:r>
        <w:rPr>
          <w:b w:val="0"/>
          <w:bCs/>
          <w:color w:val="auto"/>
          <w:sz w:val="24"/>
          <w:highlight w:val="none"/>
        </w:rPr>
        <w:t>、参数修改、配方加载、任务启动、模式切换等</w:t>
      </w:r>
      <w:r>
        <w:rPr>
          <w:rFonts w:hint="eastAsia"/>
          <w:b w:val="0"/>
          <w:bCs/>
          <w:color w:val="auto"/>
          <w:sz w:val="24"/>
          <w:highlight w:val="none"/>
        </w:rPr>
        <w:t>控制</w:t>
      </w:r>
      <w:r>
        <w:rPr>
          <w:b w:val="0"/>
          <w:bCs/>
          <w:color w:val="auto"/>
          <w:sz w:val="24"/>
          <w:highlight w:val="none"/>
        </w:rPr>
        <w:t>操作，应具备权限校验、安全联锁、二次确认或设备端确认、操作审计及异常拒绝机制。</w:t>
      </w:r>
    </w:p>
    <w:p w14:paraId="7F034716">
      <w:pPr>
        <w:spacing w:line="360" w:lineRule="auto"/>
        <w:rPr>
          <w:b w:val="0"/>
          <w:bCs/>
          <w:color w:val="auto"/>
          <w:sz w:val="24"/>
          <w:highlight w:val="none"/>
        </w:rPr>
      </w:pPr>
      <w:r>
        <w:rPr>
          <w:rFonts w:hint="eastAsia"/>
          <w:b w:val="0"/>
          <w:bCs/>
          <w:color w:val="auto"/>
          <w:sz w:val="24"/>
          <w:highlight w:val="none"/>
        </w:rPr>
        <w:t>（3）</w:t>
      </w:r>
      <w:r>
        <w:rPr>
          <w:b w:val="0"/>
          <w:bCs/>
          <w:color w:val="auto"/>
          <w:sz w:val="24"/>
          <w:highlight w:val="none"/>
        </w:rPr>
        <w:t>支持接口访问认证、加密传输（如 TLS/SSL），防止非法访问。</w:t>
      </w:r>
    </w:p>
    <w:p w14:paraId="7F034717">
      <w:pPr>
        <w:spacing w:line="360" w:lineRule="auto"/>
        <w:rPr>
          <w:b w:val="0"/>
          <w:bCs/>
          <w:color w:val="auto"/>
          <w:sz w:val="24"/>
          <w:highlight w:val="none"/>
        </w:rPr>
      </w:pPr>
      <w:r>
        <w:rPr>
          <w:rFonts w:hint="eastAsia"/>
          <w:b w:val="0"/>
          <w:bCs/>
          <w:color w:val="auto"/>
          <w:sz w:val="24"/>
          <w:highlight w:val="none"/>
        </w:rPr>
        <w:t>（4）所有控制操作留痕，可追溯、可审计。</w:t>
      </w:r>
    </w:p>
    <w:p w14:paraId="7F034718">
      <w:pPr>
        <w:spacing w:line="360" w:lineRule="auto"/>
        <w:rPr>
          <w:b w:val="0"/>
          <w:bCs/>
          <w:color w:val="auto"/>
          <w:sz w:val="24"/>
          <w:highlight w:val="none"/>
        </w:rPr>
      </w:pPr>
      <w:r>
        <w:rPr>
          <w:rFonts w:hint="eastAsia"/>
          <w:b w:val="0"/>
          <w:bCs/>
          <w:color w:val="auto"/>
          <w:sz w:val="24"/>
          <w:highlight w:val="none"/>
        </w:rPr>
        <w:t>（5）</w:t>
      </w:r>
      <w:r>
        <w:rPr>
          <w:b w:val="0"/>
          <w:bCs/>
          <w:color w:val="auto"/>
          <w:sz w:val="24"/>
          <w:highlight w:val="none"/>
        </w:rPr>
        <w:t>外部系统通过接口下发的数据、任务、配方、参数或执行请求，应由设备控制系统进行接收、校验、判断和执行。设备控制系统应对安全联锁、工艺保护、运行状态判断、动作执行和异常处置负责。因外部系统下发数据超出约定范围、格式错误、权限不符或不满足工艺条件导致设备拒绝执行的，设备应反馈明确原因。因设备控制系统未按约定进行校验、联锁保护、异常拒绝或执行反馈导致的问题，应由投标方承担相应责任。</w:t>
      </w:r>
    </w:p>
    <w:p w14:paraId="7F034719">
      <w:pPr>
        <w:pStyle w:val="3"/>
        <w:numPr>
          <w:ilvl w:val="0"/>
          <w:numId w:val="14"/>
        </w:numPr>
        <w:rPr>
          <w:b w:val="0"/>
          <w:bCs/>
          <w:color w:val="auto"/>
          <w:sz w:val="32"/>
          <w:szCs w:val="32"/>
          <w:highlight w:val="none"/>
        </w:rPr>
      </w:pPr>
      <w:bookmarkStart w:id="955" w:name="_Toc18213"/>
      <w:r>
        <w:rPr>
          <w:rFonts w:hint="eastAsia"/>
          <w:b w:val="0"/>
          <w:bCs/>
          <w:color w:val="auto"/>
          <w:sz w:val="32"/>
          <w:szCs w:val="32"/>
          <w:highlight w:val="none"/>
        </w:rPr>
        <w:t>联调、测试与验收</w:t>
      </w:r>
      <w:bookmarkEnd w:id="955"/>
    </w:p>
    <w:p w14:paraId="7F03471A">
      <w:pPr>
        <w:spacing w:line="360" w:lineRule="auto"/>
        <w:rPr>
          <w:b w:val="0"/>
          <w:bCs/>
          <w:color w:val="auto"/>
          <w:sz w:val="24"/>
          <w:highlight w:val="none"/>
        </w:rPr>
      </w:pPr>
      <w:r>
        <w:rPr>
          <w:rFonts w:hint="eastAsia"/>
          <w:b w:val="0"/>
          <w:bCs/>
          <w:color w:val="auto"/>
          <w:sz w:val="24"/>
          <w:highlight w:val="none"/>
        </w:rPr>
        <w:t>（1）</w:t>
      </w:r>
      <w:r>
        <w:rPr>
          <w:b w:val="0"/>
          <w:bCs/>
          <w:color w:val="auto"/>
          <w:sz w:val="24"/>
          <w:highlight w:val="none"/>
        </w:rPr>
        <w:t>投标方必须全程配合采购方或第三方完成接口开发、联调、测试、验收。</w:t>
      </w:r>
    </w:p>
    <w:p w14:paraId="7F03471B">
      <w:pPr>
        <w:spacing w:line="360" w:lineRule="auto"/>
        <w:rPr>
          <w:b w:val="0"/>
          <w:bCs/>
          <w:color w:val="auto"/>
          <w:sz w:val="24"/>
          <w:highlight w:val="none"/>
        </w:rPr>
      </w:pPr>
      <w:r>
        <w:rPr>
          <w:rFonts w:hint="eastAsia"/>
          <w:b w:val="0"/>
          <w:bCs/>
          <w:color w:val="auto"/>
          <w:sz w:val="24"/>
          <w:highlight w:val="none"/>
        </w:rPr>
        <w:t>（2）</w:t>
      </w:r>
      <w:r>
        <w:rPr>
          <w:b w:val="0"/>
          <w:bCs/>
          <w:color w:val="auto"/>
          <w:sz w:val="24"/>
          <w:highlight w:val="none"/>
        </w:rPr>
        <w:t>验收内容包括：</w:t>
      </w:r>
    </w:p>
    <w:p w14:paraId="7F03471C">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通信连通性与稳定性</w:t>
      </w:r>
    </w:p>
    <w:p w14:paraId="7F03471D">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数据完整性、准确性、实时性</w:t>
      </w:r>
    </w:p>
    <w:p w14:paraId="7F03471E">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时间戳一致性</w:t>
      </w:r>
    </w:p>
    <w:p w14:paraId="7F03471F">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采集频率达标</w:t>
      </w:r>
    </w:p>
    <w:p w14:paraId="7F034720">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报警实时上送</w:t>
      </w:r>
    </w:p>
    <w:p w14:paraId="7F034721">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断线缓存与重连</w:t>
      </w:r>
    </w:p>
    <w:p w14:paraId="7F034722">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数据下发功能可用</w:t>
      </w:r>
    </w:p>
    <w:p w14:paraId="7F034723">
      <w:pPr>
        <w:pStyle w:val="334"/>
        <w:numPr>
          <w:ilvl w:val="0"/>
          <w:numId w:val="16"/>
        </w:numPr>
        <w:spacing w:line="360" w:lineRule="auto"/>
        <w:rPr>
          <w:rFonts w:ascii="Times New Roman" w:hAnsi="Times New Roman" w:cs="Times New Roman"/>
          <w:b w:val="0"/>
          <w:bCs/>
          <w:color w:val="auto"/>
          <w:sz w:val="24"/>
          <w:highlight w:val="none"/>
        </w:rPr>
      </w:pPr>
      <w:r>
        <w:rPr>
          <w:rFonts w:hint="eastAsia" w:ascii="Times New Roman" w:hAnsi="Times New Roman" w:cs="Times New Roman"/>
          <w:b w:val="0"/>
          <w:bCs/>
          <w:color w:val="auto"/>
          <w:sz w:val="24"/>
          <w:highlight w:val="none"/>
        </w:rPr>
        <w:t>自动化作业功能可用</w:t>
      </w:r>
    </w:p>
    <w:p w14:paraId="7F034724">
      <w:pPr>
        <w:pStyle w:val="334"/>
        <w:numPr>
          <w:ilvl w:val="0"/>
          <w:numId w:val="16"/>
        </w:numPr>
        <w:spacing w:line="360" w:lineRule="auto"/>
        <w:rPr>
          <w:rFonts w:ascii="Times New Roman" w:hAnsi="Times New Roman" w:cs="Times New Roman"/>
          <w:b w:val="0"/>
          <w:bCs/>
          <w:color w:val="auto"/>
          <w:sz w:val="24"/>
          <w:highlight w:val="none"/>
        </w:rPr>
      </w:pPr>
      <w:r>
        <w:rPr>
          <w:rFonts w:ascii="Times New Roman" w:hAnsi="Times New Roman" w:cs="Times New Roman"/>
          <w:b w:val="0"/>
          <w:bCs/>
          <w:color w:val="auto"/>
          <w:sz w:val="24"/>
          <w:highlight w:val="none"/>
        </w:rPr>
        <w:t>文档与点表完整准确</w:t>
      </w:r>
    </w:p>
    <w:p w14:paraId="7F034725">
      <w:pPr>
        <w:spacing w:line="360" w:lineRule="auto"/>
        <w:rPr>
          <w:b w:val="0"/>
          <w:bCs/>
          <w:color w:val="auto"/>
          <w:sz w:val="24"/>
          <w:highlight w:val="none"/>
        </w:rPr>
      </w:pPr>
      <w:r>
        <w:rPr>
          <w:rFonts w:hint="eastAsia"/>
          <w:b w:val="0"/>
          <w:bCs/>
          <w:color w:val="auto"/>
          <w:sz w:val="24"/>
          <w:highlight w:val="none"/>
        </w:rPr>
        <w:t>（3）</w:t>
      </w:r>
      <w:r>
        <w:rPr>
          <w:b w:val="0"/>
          <w:bCs/>
          <w:color w:val="auto"/>
          <w:sz w:val="24"/>
          <w:highlight w:val="none"/>
        </w:rPr>
        <w:t>验收不通过，投标方必须无偿整改至合格。</w:t>
      </w:r>
    </w:p>
    <w:p w14:paraId="7F034726">
      <w:pPr>
        <w:pStyle w:val="3"/>
        <w:numPr>
          <w:ilvl w:val="0"/>
          <w:numId w:val="14"/>
        </w:numPr>
        <w:rPr>
          <w:b w:val="0"/>
          <w:bCs/>
          <w:color w:val="auto"/>
          <w:sz w:val="32"/>
          <w:szCs w:val="32"/>
          <w:highlight w:val="none"/>
        </w:rPr>
      </w:pPr>
      <w:bookmarkStart w:id="956" w:name="_Toc4495"/>
      <w:r>
        <w:rPr>
          <w:rFonts w:hint="eastAsia"/>
          <w:b w:val="0"/>
          <w:bCs/>
          <w:color w:val="auto"/>
          <w:sz w:val="32"/>
          <w:szCs w:val="32"/>
          <w:highlight w:val="none"/>
        </w:rPr>
        <w:t>交付物</w:t>
      </w:r>
      <w:bookmarkEnd w:id="956"/>
    </w:p>
    <w:p w14:paraId="7F034727">
      <w:pPr>
        <w:spacing w:line="360" w:lineRule="auto"/>
        <w:ind w:firstLine="420"/>
        <w:rPr>
          <w:b w:val="0"/>
          <w:bCs/>
          <w:color w:val="auto"/>
          <w:sz w:val="24"/>
          <w:highlight w:val="none"/>
        </w:rPr>
      </w:pPr>
      <w:r>
        <w:rPr>
          <w:b w:val="0"/>
          <w:bCs/>
          <w:color w:val="auto"/>
          <w:sz w:val="24"/>
          <w:highlight w:val="none"/>
        </w:rPr>
        <w:t>投标方</w:t>
      </w:r>
      <w:r>
        <w:rPr>
          <w:rFonts w:hint="eastAsia"/>
          <w:b w:val="0"/>
          <w:bCs/>
          <w:color w:val="auto"/>
          <w:sz w:val="24"/>
          <w:highlight w:val="none"/>
        </w:rPr>
        <w:t>需</w:t>
      </w:r>
      <w:r>
        <w:rPr>
          <w:b w:val="0"/>
          <w:bCs/>
          <w:color w:val="auto"/>
          <w:sz w:val="24"/>
          <w:highlight w:val="none"/>
        </w:rPr>
        <w:t>提供：</w:t>
      </w:r>
    </w:p>
    <w:p w14:paraId="7F034728">
      <w:pPr>
        <w:autoSpaceDN w:val="0"/>
        <w:rPr>
          <w:rFonts w:hint="eastAsia" w:ascii="宋体" w:hAnsi="宋体" w:cs="宋体"/>
          <w:b w:val="0"/>
          <w:bCs/>
          <w:color w:val="auto"/>
          <w:sz w:val="24"/>
          <w:highlight w:val="none"/>
        </w:rPr>
      </w:pPr>
      <w:r>
        <w:rPr>
          <w:rFonts w:hint="eastAsia" w:ascii="宋体" w:hAnsi="宋体" w:cs="宋体"/>
          <w:b w:val="0"/>
          <w:bCs/>
          <w:color w:val="auto"/>
          <w:sz w:val="24"/>
          <w:highlight w:val="none"/>
        </w:rPr>
        <w:t>（1）</w:t>
      </w:r>
      <w:r>
        <w:rPr>
          <w:rFonts w:ascii="宋体" w:hAnsi="宋体" w:cs="宋体"/>
          <w:b w:val="0"/>
          <w:bCs/>
          <w:color w:val="auto"/>
          <w:sz w:val="24"/>
          <w:highlight w:val="none"/>
        </w:rPr>
        <w:t>完整数据点表；</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（2）</w:t>
      </w:r>
      <w:r>
        <w:rPr>
          <w:rFonts w:ascii="宋体" w:hAnsi="宋体" w:cs="宋体"/>
          <w:b w:val="0"/>
          <w:bCs/>
          <w:color w:val="auto"/>
          <w:sz w:val="24"/>
          <w:highlight w:val="none"/>
        </w:rPr>
        <w:t>通信协议说明书；</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（3）</w:t>
      </w:r>
      <w:r>
        <w:rPr>
          <w:rFonts w:ascii="宋体" w:hAnsi="宋体" w:cs="宋体"/>
          <w:b w:val="0"/>
          <w:bCs/>
          <w:color w:val="auto"/>
          <w:sz w:val="24"/>
          <w:highlight w:val="none"/>
        </w:rPr>
        <w:t>报警、事件、异常代码表；</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（4）</w:t>
      </w:r>
      <w:r>
        <w:rPr>
          <w:rFonts w:ascii="宋体" w:hAnsi="宋体" w:cs="宋体"/>
          <w:b w:val="0"/>
          <w:bCs/>
          <w:color w:val="auto"/>
          <w:sz w:val="24"/>
          <w:highlight w:val="none"/>
        </w:rPr>
        <w:t>写入接口及执行反馈说明；</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（5）</w:t>
      </w:r>
      <w:r>
        <w:rPr>
          <w:rFonts w:ascii="宋体" w:hAnsi="宋体" w:cs="宋体"/>
          <w:b w:val="0"/>
          <w:bCs/>
          <w:color w:val="auto"/>
          <w:sz w:val="24"/>
          <w:highlight w:val="none"/>
        </w:rPr>
        <w:t>权限配置说明；</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（6）</w:t>
      </w:r>
      <w:r>
        <w:rPr>
          <w:rFonts w:ascii="宋体" w:hAnsi="宋体" w:cs="宋体"/>
          <w:b w:val="0"/>
          <w:bCs/>
          <w:color w:val="auto"/>
          <w:sz w:val="24"/>
          <w:highlight w:val="none"/>
        </w:rPr>
        <w:t>联调测试报告。</w:t>
      </w:r>
    </w:p>
    <w:p w14:paraId="7F034729">
      <w:pPr>
        <w:jc w:val="center"/>
        <w:rPr>
          <w:rFonts w:hint="eastAsia" w:ascii="宋体" w:hAnsi="宋体" w:cs="宋体"/>
          <w:b w:val="0"/>
          <w:bCs/>
          <w:color w:val="auto"/>
          <w:sz w:val="24"/>
          <w:highlight w:val="none"/>
        </w:rPr>
      </w:pPr>
      <w:r>
        <w:rPr>
          <w:rFonts w:ascii="宋体" w:hAnsi="宋体" w:cs="宋体"/>
          <w:b w:val="0"/>
          <w:bCs/>
          <w:color w:val="auto"/>
          <w:sz w:val="24"/>
          <w:highlight w:val="none"/>
        </w:rPr>
        <w:br w:type="page"/>
      </w:r>
      <w:r>
        <w:rPr>
          <w:rFonts w:hint="eastAsia"/>
          <w:b w:val="0"/>
          <w:bCs/>
          <w:color w:val="auto"/>
          <w:spacing w:val="10"/>
          <w:szCs w:val="21"/>
          <w:highlight w:val="none"/>
        </w:rPr>
        <w:t>附录4</w:t>
      </w:r>
      <w:r>
        <w:rPr>
          <w:b w:val="0"/>
          <w:bCs/>
          <w:color w:val="auto"/>
          <w:spacing w:val="10"/>
          <w:szCs w:val="21"/>
          <w:highlight w:val="none"/>
        </w:rPr>
        <w:t>—</w:t>
      </w:r>
      <w:r>
        <w:rPr>
          <w:rFonts w:hint="eastAsia"/>
          <w:b w:val="0"/>
          <w:bCs/>
          <w:color w:val="auto"/>
          <w:spacing w:val="10"/>
          <w:szCs w:val="21"/>
          <w:highlight w:val="none"/>
        </w:rPr>
        <w:t>电极块尺寸</w:t>
      </w:r>
    </w:p>
    <w:p w14:paraId="7F03472A">
      <w:pPr>
        <w:jc w:val="center"/>
        <w:rPr>
          <w:b w:val="0"/>
          <w:bCs/>
          <w:color w:val="auto"/>
          <w:highlight w:val="none"/>
        </w:rPr>
      </w:pPr>
      <w:r>
        <w:rPr>
          <w:b w:val="0"/>
          <w:bCs/>
          <w:color w:val="auto"/>
          <w:highlight w:val="none"/>
        </w:rPr>
        <w:drawing>
          <wp:inline distT="0" distB="0" distL="114300" distR="114300">
            <wp:extent cx="5039995" cy="1076325"/>
            <wp:effectExtent l="0" t="0" r="4445" b="5715"/>
            <wp:docPr id="10" name="图片 1" descr="合锻电极压制工艺方案260306（A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合锻电极压制工艺方案260306（A1）110"/>
                    <pic:cNvPicPr>
                      <a:picLocks noChangeAspect="1"/>
                    </pic:cNvPicPr>
                  </pic:nvPicPr>
                  <pic:blipFill>
                    <a:blip r:embed="rId18">
                      <a:lum bright="-65997" contrast="66000"/>
                    </a:blip>
                    <a:srcRect b="25230"/>
                    <a:stretch>
                      <a:fillRect/>
                    </a:stretch>
                  </pic:blipFill>
                  <pic:spPr>
                    <a:xfrm>
                      <a:off x="0" y="0"/>
                      <a:ext cx="5039995" cy="1076325"/>
                    </a:xfrm>
                    <a:prstGeom prst="rect">
                      <a:avLst/>
                    </a:prstGeom>
                    <a:noFill/>
                    <a:ln>
                      <a:noFill/>
                    </a:ln>
                  </pic:spPr>
                </pic:pic>
              </a:graphicData>
            </a:graphic>
          </wp:inline>
        </w:drawing>
      </w:r>
    </w:p>
    <w:p w14:paraId="7F03472B">
      <w:pPr>
        <w:jc w:val="center"/>
        <w:rPr>
          <w:b w:val="0"/>
          <w:bCs/>
          <w:color w:val="auto"/>
          <w:sz w:val="22"/>
          <w:highlight w:val="none"/>
        </w:rPr>
      </w:pPr>
      <w:r>
        <w:rPr>
          <w:b w:val="0"/>
          <w:bCs/>
          <w:color w:val="auto"/>
          <w:highlight w:val="none"/>
        </w:rPr>
        <w:t xml:space="preserve">图1 </w:t>
      </w:r>
      <w:r>
        <w:rPr>
          <w:rFonts w:hint="eastAsia"/>
          <w:b w:val="0"/>
          <w:bCs/>
          <w:color w:val="auto"/>
          <w:highlight w:val="none"/>
        </w:rPr>
        <w:t xml:space="preserve"> </w:t>
      </w:r>
      <w:r>
        <w:rPr>
          <w:b w:val="0"/>
          <w:bCs/>
          <w:color w:val="auto"/>
          <w:sz w:val="22"/>
          <w:highlight w:val="none"/>
        </w:rPr>
        <w:t>Φ110</w:t>
      </w:r>
      <w:r>
        <w:rPr>
          <w:rFonts w:hint="eastAsia"/>
          <w:b w:val="0"/>
          <w:bCs/>
          <w:color w:val="auto"/>
          <w:sz w:val="22"/>
          <w:highlight w:val="none"/>
        </w:rPr>
        <w:t>等效圆</w:t>
      </w:r>
      <w:r>
        <w:rPr>
          <w:b w:val="0"/>
          <w:bCs/>
          <w:color w:val="auto"/>
          <w:sz w:val="22"/>
          <w:highlight w:val="none"/>
        </w:rPr>
        <w:t>×400</w:t>
      </w:r>
    </w:p>
    <w:p w14:paraId="7F03472C">
      <w:pPr>
        <w:jc w:val="center"/>
        <w:rPr>
          <w:b w:val="0"/>
          <w:bCs/>
          <w:color w:val="auto"/>
          <w:highlight w:val="none"/>
        </w:rPr>
      </w:pPr>
      <w:r>
        <w:rPr>
          <w:b w:val="0"/>
          <w:bCs/>
          <w:color w:val="auto"/>
          <w:highlight w:val="none"/>
        </w:rPr>
        <w:drawing>
          <wp:inline distT="0" distB="0" distL="114300" distR="114300">
            <wp:extent cx="4319905" cy="1135380"/>
            <wp:effectExtent l="0" t="0" r="8255" b="7620"/>
            <wp:docPr id="13" name="图片 2" descr="160电极图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160电极图260304"/>
                    <pic:cNvPicPr>
                      <a:picLocks noChangeAspect="1"/>
                    </pic:cNvPicPr>
                  </pic:nvPicPr>
                  <pic:blipFill>
                    <a:blip r:embed="rId19">
                      <a:lum bright="-71997" contrast="71999"/>
                    </a:blip>
                    <a:srcRect b="21181"/>
                    <a:stretch>
                      <a:fillRect/>
                    </a:stretch>
                  </pic:blipFill>
                  <pic:spPr>
                    <a:xfrm>
                      <a:off x="0" y="0"/>
                      <a:ext cx="4319905" cy="1135380"/>
                    </a:xfrm>
                    <a:prstGeom prst="rect">
                      <a:avLst/>
                    </a:prstGeom>
                    <a:noFill/>
                    <a:ln>
                      <a:noFill/>
                    </a:ln>
                  </pic:spPr>
                </pic:pic>
              </a:graphicData>
            </a:graphic>
          </wp:inline>
        </w:drawing>
      </w:r>
    </w:p>
    <w:p w14:paraId="7F03472D">
      <w:pPr>
        <w:jc w:val="center"/>
        <w:rPr>
          <w:b w:val="0"/>
          <w:bCs/>
          <w:color w:val="auto"/>
          <w:sz w:val="22"/>
          <w:highlight w:val="none"/>
        </w:rPr>
      </w:pPr>
      <w:r>
        <w:rPr>
          <w:b w:val="0"/>
          <w:bCs/>
          <w:color w:val="auto"/>
          <w:highlight w:val="none"/>
        </w:rPr>
        <w:t xml:space="preserve">图2 </w:t>
      </w:r>
      <w:r>
        <w:rPr>
          <w:rFonts w:hint="eastAsia"/>
          <w:b w:val="0"/>
          <w:bCs/>
          <w:color w:val="auto"/>
          <w:highlight w:val="none"/>
        </w:rPr>
        <w:t xml:space="preserve"> </w:t>
      </w:r>
      <w:r>
        <w:rPr>
          <w:b w:val="0"/>
          <w:bCs/>
          <w:color w:val="auto"/>
          <w:sz w:val="22"/>
          <w:highlight w:val="none"/>
        </w:rPr>
        <w:t>Φ160</w:t>
      </w:r>
      <w:r>
        <w:rPr>
          <w:rFonts w:hint="eastAsia"/>
          <w:b w:val="0"/>
          <w:bCs/>
          <w:color w:val="auto"/>
          <w:sz w:val="22"/>
          <w:highlight w:val="none"/>
        </w:rPr>
        <w:t>等效圆</w:t>
      </w:r>
      <w:r>
        <w:rPr>
          <w:b w:val="0"/>
          <w:bCs/>
          <w:color w:val="auto"/>
          <w:sz w:val="22"/>
          <w:highlight w:val="none"/>
        </w:rPr>
        <w:t>×400</w:t>
      </w:r>
    </w:p>
    <w:p w14:paraId="7F03472E">
      <w:pPr>
        <w:jc w:val="center"/>
        <w:rPr>
          <w:b w:val="0"/>
          <w:bCs/>
          <w:color w:val="auto"/>
          <w:sz w:val="22"/>
          <w:highlight w:val="none"/>
        </w:rPr>
      </w:pPr>
      <w:r>
        <w:rPr>
          <w:b w:val="0"/>
          <w:bCs/>
          <w:color w:val="auto"/>
          <w:sz w:val="22"/>
          <w:highlight w:val="none"/>
        </w:rPr>
        <w:drawing>
          <wp:inline distT="0" distB="0" distL="114300" distR="114300">
            <wp:extent cx="4319905" cy="1380490"/>
            <wp:effectExtent l="0" t="0" r="8255" b="6350"/>
            <wp:docPr id="23" name="图片 3" descr="220电极图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descr="220电极图260304"/>
                    <pic:cNvPicPr>
                      <a:picLocks noChangeAspect="1"/>
                    </pic:cNvPicPr>
                  </pic:nvPicPr>
                  <pic:blipFill>
                    <a:blip r:embed="rId20">
                      <a:lum bright="-71997" contrast="72000"/>
                    </a:blip>
                    <a:srcRect b="20367"/>
                    <a:stretch>
                      <a:fillRect/>
                    </a:stretch>
                  </pic:blipFill>
                  <pic:spPr>
                    <a:xfrm>
                      <a:off x="0" y="0"/>
                      <a:ext cx="4319905" cy="1380490"/>
                    </a:xfrm>
                    <a:prstGeom prst="rect">
                      <a:avLst/>
                    </a:prstGeom>
                    <a:noFill/>
                    <a:ln>
                      <a:noFill/>
                    </a:ln>
                  </pic:spPr>
                </pic:pic>
              </a:graphicData>
            </a:graphic>
          </wp:inline>
        </w:drawing>
      </w:r>
    </w:p>
    <w:p w14:paraId="7F03472F">
      <w:pPr>
        <w:jc w:val="center"/>
        <w:rPr>
          <w:b w:val="0"/>
          <w:bCs/>
          <w:color w:val="auto"/>
          <w:sz w:val="22"/>
          <w:highlight w:val="none"/>
        </w:rPr>
      </w:pPr>
      <w:r>
        <w:rPr>
          <w:b w:val="0"/>
          <w:bCs/>
          <w:color w:val="auto"/>
          <w:highlight w:val="none"/>
        </w:rPr>
        <w:t xml:space="preserve">图3 </w:t>
      </w:r>
      <w:r>
        <w:rPr>
          <w:rFonts w:hint="eastAsia"/>
          <w:b w:val="0"/>
          <w:bCs/>
          <w:color w:val="auto"/>
          <w:highlight w:val="none"/>
        </w:rPr>
        <w:t xml:space="preserve"> </w:t>
      </w:r>
      <w:r>
        <w:rPr>
          <w:b w:val="0"/>
          <w:bCs/>
          <w:color w:val="auto"/>
          <w:sz w:val="22"/>
          <w:highlight w:val="none"/>
        </w:rPr>
        <w:t>Φ220</w:t>
      </w:r>
      <w:r>
        <w:rPr>
          <w:rFonts w:hint="eastAsia"/>
          <w:b w:val="0"/>
          <w:bCs/>
          <w:color w:val="auto"/>
          <w:sz w:val="22"/>
          <w:highlight w:val="none"/>
        </w:rPr>
        <w:t>等效圆</w:t>
      </w:r>
      <w:r>
        <w:rPr>
          <w:b w:val="0"/>
          <w:bCs/>
          <w:color w:val="auto"/>
          <w:sz w:val="22"/>
          <w:highlight w:val="none"/>
        </w:rPr>
        <w:t>×400（</w:t>
      </w:r>
      <w:r>
        <w:rPr>
          <w:rFonts w:hint="eastAsia"/>
          <w:b w:val="0"/>
          <w:bCs/>
          <w:color w:val="auto"/>
          <w:sz w:val="22"/>
          <w:highlight w:val="none"/>
        </w:rPr>
        <w:t>整块压制</w:t>
      </w:r>
      <w:r>
        <w:rPr>
          <w:b w:val="0"/>
          <w:bCs/>
          <w:color w:val="auto"/>
          <w:sz w:val="22"/>
          <w:highlight w:val="none"/>
        </w:rPr>
        <w:t>）</w:t>
      </w:r>
    </w:p>
    <w:p w14:paraId="7F034730">
      <w:pPr>
        <w:jc w:val="center"/>
        <w:rPr>
          <w:b w:val="0"/>
          <w:bCs/>
          <w:color w:val="auto"/>
          <w:highlight w:val="none"/>
        </w:rPr>
      </w:pPr>
      <w:r>
        <w:rPr>
          <w:b w:val="0"/>
          <w:bCs/>
          <w:color w:val="auto"/>
          <w:highlight w:val="none"/>
        </w:rPr>
        <w:drawing>
          <wp:inline distT="0" distB="0" distL="114300" distR="114300">
            <wp:extent cx="4319905" cy="1906905"/>
            <wp:effectExtent l="0" t="0" r="8255" b="13335"/>
            <wp:docPr id="1" name="图片 4" descr="合锻电极压制工艺方案2603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合锻电极压制工艺方案260306（A1）"/>
                    <pic:cNvPicPr>
                      <a:picLocks noChangeAspect="1"/>
                    </pic:cNvPicPr>
                  </pic:nvPicPr>
                  <pic:blipFill>
                    <a:blip r:embed="rId21">
                      <a:lum bright="-65997" contrast="60000"/>
                    </a:blip>
                    <a:srcRect b="11624"/>
                    <a:stretch>
                      <a:fillRect/>
                    </a:stretch>
                  </pic:blipFill>
                  <pic:spPr>
                    <a:xfrm>
                      <a:off x="0" y="0"/>
                      <a:ext cx="4319905" cy="1906905"/>
                    </a:xfrm>
                    <a:prstGeom prst="rect">
                      <a:avLst/>
                    </a:prstGeom>
                    <a:noFill/>
                    <a:ln>
                      <a:noFill/>
                    </a:ln>
                  </pic:spPr>
                </pic:pic>
              </a:graphicData>
            </a:graphic>
          </wp:inline>
        </w:drawing>
      </w:r>
    </w:p>
    <w:p w14:paraId="7F034731">
      <w:pPr>
        <w:jc w:val="center"/>
        <w:rPr>
          <w:b w:val="0"/>
          <w:bCs/>
          <w:color w:val="auto"/>
          <w:sz w:val="22"/>
          <w:highlight w:val="none"/>
        </w:rPr>
      </w:pPr>
      <w:r>
        <w:rPr>
          <w:b w:val="0"/>
          <w:bCs/>
          <w:color w:val="auto"/>
          <w:highlight w:val="none"/>
        </w:rPr>
        <w:t>图4</w:t>
      </w:r>
      <w:r>
        <w:rPr>
          <w:rFonts w:hint="eastAsia"/>
          <w:b w:val="0"/>
          <w:bCs/>
          <w:color w:val="auto"/>
          <w:highlight w:val="none"/>
        </w:rPr>
        <w:t xml:space="preserve"> </w:t>
      </w:r>
      <w:r>
        <w:rPr>
          <w:b w:val="0"/>
          <w:bCs/>
          <w:color w:val="auto"/>
          <w:highlight w:val="none"/>
        </w:rPr>
        <w:t xml:space="preserve"> </w:t>
      </w:r>
      <w:r>
        <w:rPr>
          <w:b w:val="0"/>
          <w:bCs/>
          <w:color w:val="auto"/>
          <w:sz w:val="22"/>
          <w:highlight w:val="none"/>
        </w:rPr>
        <w:t>Φ300</w:t>
      </w:r>
      <w:r>
        <w:rPr>
          <w:rFonts w:hint="eastAsia"/>
          <w:b w:val="0"/>
          <w:bCs/>
          <w:color w:val="auto"/>
          <w:sz w:val="22"/>
          <w:highlight w:val="none"/>
        </w:rPr>
        <w:t>等效圆</w:t>
      </w:r>
      <w:r>
        <w:rPr>
          <w:b w:val="0"/>
          <w:bCs/>
          <w:color w:val="auto"/>
          <w:sz w:val="22"/>
          <w:highlight w:val="none"/>
        </w:rPr>
        <w:t>×400</w:t>
      </w:r>
    </w:p>
    <w:p w14:paraId="7F034732">
      <w:pPr>
        <w:jc w:val="center"/>
        <w:rPr>
          <w:b w:val="0"/>
          <w:bCs/>
          <w:color w:val="auto"/>
          <w:highlight w:val="none"/>
        </w:rPr>
      </w:pPr>
      <w:r>
        <w:rPr>
          <w:b w:val="0"/>
          <w:bCs/>
          <w:color w:val="auto"/>
          <w:highlight w:val="none"/>
        </w:rPr>
        <w:drawing>
          <wp:inline distT="0" distB="0" distL="114300" distR="114300">
            <wp:extent cx="3599815" cy="1725930"/>
            <wp:effectExtent l="0" t="0" r="12065" b="11430"/>
            <wp:docPr id="2" name="图片 5" descr="合锻电极压制工艺方案260306（A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合锻电极压制工艺方案260306（A1）340"/>
                    <pic:cNvPicPr>
                      <a:picLocks noChangeAspect="1"/>
                    </pic:cNvPicPr>
                  </pic:nvPicPr>
                  <pic:blipFill>
                    <a:blip r:embed="rId22">
                      <a:lum bright="-59998" contrast="59999"/>
                    </a:blip>
                    <a:srcRect b="10831"/>
                    <a:stretch>
                      <a:fillRect/>
                    </a:stretch>
                  </pic:blipFill>
                  <pic:spPr>
                    <a:xfrm>
                      <a:off x="0" y="0"/>
                      <a:ext cx="3599815" cy="1725930"/>
                    </a:xfrm>
                    <a:prstGeom prst="rect">
                      <a:avLst/>
                    </a:prstGeom>
                    <a:noFill/>
                    <a:ln>
                      <a:noFill/>
                    </a:ln>
                  </pic:spPr>
                </pic:pic>
              </a:graphicData>
            </a:graphic>
          </wp:inline>
        </w:drawing>
      </w:r>
    </w:p>
    <w:p w14:paraId="7F034733">
      <w:pPr>
        <w:jc w:val="center"/>
        <w:rPr>
          <w:b w:val="0"/>
          <w:bCs/>
          <w:color w:val="auto"/>
          <w:sz w:val="18"/>
          <w:szCs w:val="18"/>
          <w:highlight w:val="none"/>
        </w:rPr>
      </w:pPr>
      <w:r>
        <w:rPr>
          <w:b w:val="0"/>
          <w:bCs/>
          <w:color w:val="auto"/>
          <w:highlight w:val="none"/>
        </w:rPr>
        <w:t>图5</w:t>
      </w:r>
      <w:r>
        <w:rPr>
          <w:rFonts w:hint="eastAsia"/>
          <w:b w:val="0"/>
          <w:bCs/>
          <w:color w:val="auto"/>
          <w:highlight w:val="none"/>
        </w:rPr>
        <w:t xml:space="preserve"> </w:t>
      </w:r>
      <w:r>
        <w:rPr>
          <w:b w:val="0"/>
          <w:bCs/>
          <w:color w:val="auto"/>
          <w:highlight w:val="none"/>
        </w:rPr>
        <w:t xml:space="preserve"> </w:t>
      </w:r>
      <w:r>
        <w:rPr>
          <w:b w:val="0"/>
          <w:bCs/>
          <w:color w:val="auto"/>
          <w:sz w:val="22"/>
          <w:highlight w:val="none"/>
        </w:rPr>
        <w:t>Φ340</w:t>
      </w:r>
      <w:r>
        <w:rPr>
          <w:rFonts w:hint="eastAsia"/>
          <w:b w:val="0"/>
          <w:bCs/>
          <w:color w:val="auto"/>
          <w:sz w:val="22"/>
          <w:highlight w:val="none"/>
        </w:rPr>
        <w:t>等效圆</w:t>
      </w:r>
      <w:r>
        <w:rPr>
          <w:b w:val="0"/>
          <w:bCs/>
          <w:color w:val="auto"/>
          <w:sz w:val="22"/>
          <w:highlight w:val="none"/>
        </w:rPr>
        <w:t>×400</w:t>
      </w:r>
    </w:p>
    <w:bookmarkEnd w:id="938"/>
    <w:bookmarkEnd w:id="939"/>
    <w:bookmarkEnd w:id="940"/>
    <w:bookmarkEnd w:id="941"/>
    <w:bookmarkEnd w:id="942"/>
    <w:p w14:paraId="7F034A1F">
      <w:pPr>
        <w:autoSpaceDE w:val="0"/>
        <w:autoSpaceDN w:val="0"/>
        <w:adjustRightInd w:val="0"/>
        <w:spacing w:before="10" w:line="110" w:lineRule="exact"/>
        <w:jc w:val="left"/>
        <w:rPr>
          <w:rFonts w:ascii="宋体" w:hAnsi="宋体" w:cs="宋体"/>
          <w:b w:val="0"/>
          <w:bCs/>
          <w:color w:val="auto"/>
          <w:kern w:val="0"/>
          <w:sz w:val="11"/>
          <w:szCs w:val="11"/>
          <w:highlight w:val="none"/>
        </w:rPr>
      </w:pPr>
    </w:p>
    <w:p w14:paraId="7F034A20">
      <w:pPr>
        <w:spacing w:line="360" w:lineRule="auto"/>
        <w:jc w:val="center"/>
        <w:rPr>
          <w:rFonts w:ascii="宋体" w:hAnsi="宋体" w:cs="宋体"/>
          <w:b w:val="0"/>
          <w:bCs/>
          <w:color w:val="auto"/>
          <w:sz w:val="28"/>
          <w:szCs w:val="28"/>
          <w:highlight w:val="none"/>
        </w:rPr>
      </w:pPr>
      <w:r>
        <w:rPr>
          <w:rFonts w:hint="eastAsia" w:ascii="宋体" w:hAnsi="宋体" w:cs="宋体"/>
          <w:b w:val="0"/>
          <w:bCs/>
          <w:color w:val="auto"/>
          <w:sz w:val="28"/>
          <w:szCs w:val="28"/>
          <w:highlight w:val="none"/>
        </w:rPr>
        <w:t>（二）钛及钛合金 电极块 压制机组（45MN）</w:t>
      </w:r>
    </w:p>
    <w:p w14:paraId="7F034A21">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1、目的</w:t>
      </w:r>
    </w:p>
    <w:p w14:paraId="7F034A22">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本技术要求作为45MN电极压制机组标书制作、招投标、安装、调试及验收的主要依据。</w:t>
      </w:r>
    </w:p>
    <w:p w14:paraId="7F034A23">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2、范围</w:t>
      </w:r>
    </w:p>
    <w:p w14:paraId="7F034A2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本技术要求适用于45MN电极压制机组标书制作、招投标、安装、调试、验收以及正常生产使用（质保期内）的所有过程。</w:t>
      </w:r>
    </w:p>
    <w:p w14:paraId="7F034A25">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3、设备主要用途及概况</w:t>
      </w:r>
    </w:p>
    <w:p w14:paraId="7F034A26">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该设备主要用于钛及钛合金电极块的压制成形。压制以单一海绵钛或海绵钛加中间合金等为原料的电极块。海绵钛及中间合金经甲方的混布料系统混合均匀后，由本设备上料装置将混合料均匀的输送至本设备压制系统的压模中；压制系统按设定的压力或高度压制成规定形状、尺寸和密度的电极块并自动出料、复称；本设备码垛系统按设定的码垛方式（含旋转配对）集成码垛。</w:t>
      </w:r>
    </w:p>
    <w:p w14:paraId="7F034A27">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3.1 设备组成</w:t>
      </w:r>
    </w:p>
    <w:p w14:paraId="7F034A28">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3.1.1 上料装置（乙方提供成套系统）</w:t>
      </w:r>
    </w:p>
    <w:p w14:paraId="7F034A29">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3.1.2 电极块压制系统（乙方提供成套系统）</w:t>
      </w:r>
    </w:p>
    <w:p w14:paraId="7F034A2A">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3.1.2 电极块码垛系统（乙方提供成套系统）</w:t>
      </w:r>
    </w:p>
    <w:p w14:paraId="7F034A2B">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注：上述设备单元应能够实现自动化联动，并开放数据接口实现与甲方混布料成套系统的自动化联动。</w:t>
      </w:r>
    </w:p>
    <w:p w14:paraId="7F034A2C">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 操作方式</w:t>
      </w:r>
    </w:p>
    <w:p w14:paraId="7F034A2D">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电气控制采用PLC+工控机集中控制，工控机设置和显示各种压力参数、位置参数、速度参数、电极块单重及允许偏差参数、电极块码垛参数及工艺程序，PLC程序控制。通过调整可实现以下操作方式。</w:t>
      </w:r>
    </w:p>
    <w:p w14:paraId="7F034A2E">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3.2.1 全线自动联动连续运行方式：</w:t>
      </w:r>
    </w:p>
    <w:p w14:paraId="7F034A2F">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本机组由完成从甲方混料机接料并将原料自动转移至模具上方并向模具卸料开始到完成电极块码垛的所有功能，由设备自动连续实现，全程不需要人工干预。</w:t>
      </w:r>
    </w:p>
    <w:p w14:paraId="7F034A30">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3.2.2 本机组内各分系统自动联动单循环运行方式：</w:t>
      </w:r>
    </w:p>
    <w:p w14:paraId="7F034A31">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人工操作按下启动按键后，本机组内上料装置、电极块压制系统、码垛系统自动联动，完成一个电极块的单次工作循环，包括上料、压制、出料、复称、旋转配对（需要时）、码垛。</w:t>
      </w:r>
    </w:p>
    <w:p w14:paraId="7F034A32">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3.2.3 本机组内各分系统独立手动运行方式：</w:t>
      </w:r>
    </w:p>
    <w:p w14:paraId="7F034A33">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本机组内的上料装置、电极块压制系统、码垛系统，均可由人工单独操作，在满足安全运行的条件下互不干预。操作相应的功能按钮完成相应的系统动作，每按一次按钮完成一个系统动作。</w:t>
      </w:r>
    </w:p>
    <w:p w14:paraId="7F034A34">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3.2.4 调整（点动）模式</w:t>
      </w:r>
    </w:p>
    <w:p w14:paraId="7F034A35">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本机组内的上料装置、电极块压制系统、码垛系统的各单体动作，均可由人工操作相应的按钮完成相应的单体动作。每按一次按钮完成相应动作的一次点动，手松动作停止。</w:t>
      </w:r>
    </w:p>
    <w:p w14:paraId="7F034A36">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3.2.5 无压力下行</w:t>
      </w:r>
    </w:p>
    <w:p w14:paraId="7F034A37">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主缸不加压，滑块在节流阀控制下缓慢微动下行，松手滑块即停。此功能用于试模和安装模具。</w:t>
      </w:r>
    </w:p>
    <w:p w14:paraId="7F034A38">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4、电极压制机组工作条件</w:t>
      </w:r>
    </w:p>
    <w:p w14:paraId="7F034A39">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4.1 设备在清洁的厂房内使用，位于四川省泸州市；</w:t>
      </w:r>
    </w:p>
    <w:p w14:paraId="7F034A3A">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4.2 环境温度：0℃~42℃；环境相对湿度＜90%；</w:t>
      </w:r>
    </w:p>
    <w:p w14:paraId="7F034A3B">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4.3 压缩空气：由乙方配置空压机、气罐等实现设备所需压缩空气；</w:t>
      </w:r>
    </w:p>
    <w:p w14:paraId="7F034A3C">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4.4 供电电源：AC 380V</w:t>
      </w:r>
      <w:r>
        <w:rPr>
          <w:rFonts w:ascii="宋体" w:hAnsi="宋体" w:cs="宋体"/>
          <w:b w:val="0"/>
          <w:bCs/>
          <w:color w:val="auto"/>
          <w:sz w:val="24"/>
          <w:highlight w:val="none"/>
        </w:rPr>
        <w:t>/220V</w:t>
      </w:r>
      <w:r>
        <w:rPr>
          <w:rFonts w:hint="eastAsia" w:ascii="宋体" w:hAnsi="宋体" w:cs="宋体"/>
          <w:b w:val="0"/>
          <w:bCs/>
          <w:color w:val="auto"/>
          <w:sz w:val="24"/>
          <w:highlight w:val="none"/>
        </w:rPr>
        <w:t>±10%，50Hz±10%，三相五线制；</w:t>
      </w:r>
    </w:p>
    <w:p w14:paraId="7F034A3D">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4.5 循环冷却水：由乙方配置冷水机等制冷设备实现设备所需冷却；</w:t>
      </w:r>
    </w:p>
    <w:p w14:paraId="7F034A3E">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5、液压机执行标准</w:t>
      </w:r>
    </w:p>
    <w:p w14:paraId="7F034A3F">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电极压制机组的设计、制造、安装、调试、验收按照以上技术要求及有关公制标准，以及适用的技术规范、标准和法律进行。</w:t>
      </w:r>
    </w:p>
    <w:p w14:paraId="7F034A40">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1）设计与制造严格执行相关国家及行业标准，并符合安全、工业卫生、防火等法规要求。</w:t>
      </w:r>
    </w:p>
    <w:p w14:paraId="7F034A41">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2）当厂标、行标、部标、国标不一致时取其严格的为标准执行。</w:t>
      </w:r>
    </w:p>
    <w:p w14:paraId="7F034A42">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3）引进部件须符合相应的国家标准或公认的国际标准。</w:t>
      </w:r>
    </w:p>
    <w:p w14:paraId="7F034A43">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4）机组的所有设备、装置应符合国家安全、工业卫生、防火等有关规定。</w:t>
      </w:r>
    </w:p>
    <w:p w14:paraId="7F034A4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除以下标准外，其余按照相关行业标准执行。最新的行业标准及国家标准不一致时，以最新标准为准。</w:t>
      </w:r>
    </w:p>
    <w:tbl>
      <w:tblPr>
        <w:tblStyle w:val="46"/>
        <w:tblW w:w="96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3"/>
        <w:gridCol w:w="2408"/>
        <w:gridCol w:w="6627"/>
      </w:tblGrid>
      <w:tr w14:paraId="7F034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45">
            <w:pPr>
              <w:pStyle w:val="335"/>
              <w:jc w:val="center"/>
              <w:rPr>
                <w:b w:val="0"/>
                <w:bCs/>
                <w:color w:val="auto"/>
                <w:sz w:val="22"/>
                <w:szCs w:val="22"/>
                <w:highlight w:val="none"/>
                <w:lang w:eastAsia="zh-CN"/>
              </w:rPr>
            </w:pPr>
            <w:r>
              <w:rPr>
                <w:rFonts w:hint="eastAsia"/>
                <w:b w:val="0"/>
                <w:bCs/>
                <w:color w:val="auto"/>
                <w:sz w:val="22"/>
                <w:szCs w:val="22"/>
                <w:highlight w:val="none"/>
                <w:lang w:eastAsia="zh-CN"/>
              </w:rPr>
              <w:t>序号</w:t>
            </w:r>
          </w:p>
        </w:tc>
        <w:tc>
          <w:tcPr>
            <w:tcW w:w="2408" w:type="dxa"/>
            <w:vAlign w:val="center"/>
          </w:tcPr>
          <w:p w14:paraId="7F034A46">
            <w:pPr>
              <w:pStyle w:val="335"/>
              <w:jc w:val="center"/>
              <w:rPr>
                <w:b w:val="0"/>
                <w:bCs/>
                <w:color w:val="auto"/>
                <w:sz w:val="22"/>
                <w:szCs w:val="22"/>
                <w:highlight w:val="none"/>
                <w:lang w:eastAsia="zh-CN"/>
              </w:rPr>
            </w:pPr>
            <w:r>
              <w:rPr>
                <w:rFonts w:hint="eastAsia"/>
                <w:b w:val="0"/>
                <w:bCs/>
                <w:color w:val="auto"/>
                <w:sz w:val="22"/>
                <w:szCs w:val="22"/>
                <w:highlight w:val="none"/>
                <w:lang w:eastAsia="zh-CN"/>
              </w:rPr>
              <w:t>标准号</w:t>
            </w:r>
          </w:p>
        </w:tc>
        <w:tc>
          <w:tcPr>
            <w:tcW w:w="6627" w:type="dxa"/>
            <w:vAlign w:val="center"/>
          </w:tcPr>
          <w:p w14:paraId="7F034A47">
            <w:pPr>
              <w:pStyle w:val="335"/>
              <w:jc w:val="center"/>
              <w:rPr>
                <w:b w:val="0"/>
                <w:bCs/>
                <w:color w:val="auto"/>
                <w:sz w:val="22"/>
                <w:szCs w:val="22"/>
                <w:highlight w:val="none"/>
                <w:lang w:eastAsia="zh-CN"/>
              </w:rPr>
            </w:pPr>
            <w:r>
              <w:rPr>
                <w:rFonts w:hint="eastAsia"/>
                <w:b w:val="0"/>
                <w:bCs/>
                <w:color w:val="auto"/>
                <w:sz w:val="22"/>
                <w:szCs w:val="22"/>
                <w:highlight w:val="none"/>
                <w:lang w:eastAsia="zh-CN"/>
              </w:rPr>
              <w:t>标准名称</w:t>
            </w:r>
          </w:p>
        </w:tc>
      </w:tr>
      <w:tr w14:paraId="7F034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49">
            <w:pPr>
              <w:pStyle w:val="335"/>
              <w:jc w:val="center"/>
              <w:rPr>
                <w:b w:val="0"/>
                <w:bCs/>
                <w:color w:val="auto"/>
                <w:sz w:val="22"/>
                <w:szCs w:val="22"/>
                <w:highlight w:val="none"/>
              </w:rPr>
            </w:pPr>
            <w:r>
              <w:rPr>
                <w:b w:val="0"/>
                <w:bCs/>
                <w:color w:val="auto"/>
                <w:sz w:val="22"/>
                <w:szCs w:val="22"/>
                <w:highlight w:val="none"/>
              </w:rPr>
              <w:t>1</w:t>
            </w:r>
          </w:p>
        </w:tc>
        <w:tc>
          <w:tcPr>
            <w:tcW w:w="2408" w:type="dxa"/>
            <w:vAlign w:val="center"/>
          </w:tcPr>
          <w:p w14:paraId="7F034A4A">
            <w:pPr>
              <w:pStyle w:val="335"/>
              <w:jc w:val="center"/>
              <w:rPr>
                <w:b w:val="0"/>
                <w:bCs/>
                <w:color w:val="auto"/>
                <w:sz w:val="22"/>
                <w:szCs w:val="22"/>
                <w:highlight w:val="none"/>
              </w:rPr>
            </w:pPr>
            <w:r>
              <w:rPr>
                <w:b w:val="0"/>
                <w:bCs/>
                <w:color w:val="auto"/>
                <w:sz w:val="22"/>
                <w:szCs w:val="22"/>
                <w:highlight w:val="none"/>
              </w:rPr>
              <w:t>JB/T3818-2014</w:t>
            </w:r>
          </w:p>
        </w:tc>
        <w:tc>
          <w:tcPr>
            <w:tcW w:w="6627" w:type="dxa"/>
            <w:vAlign w:val="center"/>
          </w:tcPr>
          <w:p w14:paraId="7F034A4B">
            <w:pPr>
              <w:pStyle w:val="335"/>
              <w:jc w:val="center"/>
              <w:rPr>
                <w:b w:val="0"/>
                <w:bCs/>
                <w:color w:val="auto"/>
                <w:sz w:val="22"/>
                <w:szCs w:val="22"/>
                <w:highlight w:val="none"/>
              </w:rPr>
            </w:pPr>
            <w:r>
              <w:rPr>
                <w:rFonts w:hint="eastAsia"/>
                <w:b w:val="0"/>
                <w:bCs/>
                <w:color w:val="auto"/>
                <w:sz w:val="22"/>
                <w:szCs w:val="22"/>
                <w:highlight w:val="none"/>
              </w:rPr>
              <w:t>《液压机技术条件》</w:t>
            </w:r>
          </w:p>
        </w:tc>
      </w:tr>
      <w:tr w14:paraId="7F034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4D">
            <w:pPr>
              <w:pStyle w:val="335"/>
              <w:jc w:val="center"/>
              <w:rPr>
                <w:b w:val="0"/>
                <w:bCs/>
                <w:color w:val="auto"/>
                <w:sz w:val="22"/>
                <w:szCs w:val="22"/>
                <w:highlight w:val="none"/>
              </w:rPr>
            </w:pPr>
            <w:r>
              <w:rPr>
                <w:b w:val="0"/>
                <w:bCs/>
                <w:color w:val="auto"/>
                <w:sz w:val="22"/>
                <w:szCs w:val="22"/>
                <w:highlight w:val="none"/>
              </w:rPr>
              <w:t>2</w:t>
            </w:r>
          </w:p>
        </w:tc>
        <w:tc>
          <w:tcPr>
            <w:tcW w:w="2408" w:type="dxa"/>
            <w:vAlign w:val="center"/>
          </w:tcPr>
          <w:p w14:paraId="7F034A4E">
            <w:pPr>
              <w:pStyle w:val="335"/>
              <w:jc w:val="center"/>
              <w:rPr>
                <w:b w:val="0"/>
                <w:bCs/>
                <w:color w:val="auto"/>
                <w:sz w:val="22"/>
                <w:szCs w:val="22"/>
                <w:highlight w:val="none"/>
              </w:rPr>
            </w:pPr>
            <w:r>
              <w:rPr>
                <w:b w:val="0"/>
                <w:bCs/>
                <w:color w:val="auto"/>
                <w:sz w:val="22"/>
                <w:szCs w:val="22"/>
                <w:highlight w:val="none"/>
              </w:rPr>
              <w:t>GB26484-2011</w:t>
            </w:r>
          </w:p>
        </w:tc>
        <w:tc>
          <w:tcPr>
            <w:tcW w:w="6627" w:type="dxa"/>
            <w:vAlign w:val="center"/>
          </w:tcPr>
          <w:p w14:paraId="7F034A4F">
            <w:pPr>
              <w:pStyle w:val="335"/>
              <w:jc w:val="center"/>
              <w:rPr>
                <w:b w:val="0"/>
                <w:bCs/>
                <w:color w:val="auto"/>
                <w:sz w:val="22"/>
                <w:szCs w:val="22"/>
                <w:highlight w:val="none"/>
              </w:rPr>
            </w:pPr>
            <w:r>
              <w:rPr>
                <w:rFonts w:hint="eastAsia"/>
                <w:b w:val="0"/>
                <w:bCs/>
                <w:color w:val="auto"/>
                <w:sz w:val="22"/>
                <w:szCs w:val="22"/>
                <w:highlight w:val="none"/>
              </w:rPr>
              <w:t>《液压机噪音限值》</w:t>
            </w:r>
          </w:p>
        </w:tc>
      </w:tr>
      <w:tr w14:paraId="7F034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51">
            <w:pPr>
              <w:pStyle w:val="335"/>
              <w:jc w:val="center"/>
              <w:rPr>
                <w:b w:val="0"/>
                <w:bCs/>
                <w:color w:val="auto"/>
                <w:sz w:val="22"/>
                <w:szCs w:val="22"/>
                <w:highlight w:val="none"/>
              </w:rPr>
            </w:pPr>
            <w:r>
              <w:rPr>
                <w:b w:val="0"/>
                <w:bCs/>
                <w:color w:val="auto"/>
                <w:sz w:val="22"/>
                <w:szCs w:val="22"/>
                <w:highlight w:val="none"/>
              </w:rPr>
              <w:t>3</w:t>
            </w:r>
          </w:p>
        </w:tc>
        <w:tc>
          <w:tcPr>
            <w:tcW w:w="2408" w:type="dxa"/>
            <w:vAlign w:val="center"/>
          </w:tcPr>
          <w:p w14:paraId="7F034A52">
            <w:pPr>
              <w:pStyle w:val="335"/>
              <w:jc w:val="center"/>
              <w:rPr>
                <w:b w:val="0"/>
                <w:bCs/>
                <w:color w:val="auto"/>
                <w:sz w:val="22"/>
                <w:szCs w:val="22"/>
                <w:highlight w:val="none"/>
              </w:rPr>
            </w:pPr>
            <w:r>
              <w:rPr>
                <w:b w:val="0"/>
                <w:bCs/>
                <w:color w:val="auto"/>
                <w:sz w:val="22"/>
                <w:szCs w:val="22"/>
                <w:highlight w:val="none"/>
              </w:rPr>
              <w:t>JB 3915-1999</w:t>
            </w:r>
          </w:p>
        </w:tc>
        <w:tc>
          <w:tcPr>
            <w:tcW w:w="6627" w:type="dxa"/>
            <w:vAlign w:val="center"/>
          </w:tcPr>
          <w:p w14:paraId="7F034A53">
            <w:pPr>
              <w:pStyle w:val="335"/>
              <w:jc w:val="center"/>
              <w:rPr>
                <w:b w:val="0"/>
                <w:bCs/>
                <w:color w:val="auto"/>
                <w:sz w:val="22"/>
                <w:szCs w:val="22"/>
                <w:highlight w:val="none"/>
                <w:lang w:eastAsia="zh-CN"/>
              </w:rPr>
            </w:pPr>
            <w:r>
              <w:rPr>
                <w:rFonts w:hint="eastAsia"/>
                <w:b w:val="0"/>
                <w:bCs/>
                <w:color w:val="auto"/>
                <w:sz w:val="22"/>
                <w:szCs w:val="22"/>
                <w:highlight w:val="none"/>
                <w:lang w:eastAsia="zh-CN"/>
              </w:rPr>
              <w:t>《液压机安全技术条件》</w:t>
            </w:r>
          </w:p>
        </w:tc>
      </w:tr>
      <w:tr w14:paraId="7F034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55">
            <w:pPr>
              <w:pStyle w:val="335"/>
              <w:jc w:val="center"/>
              <w:rPr>
                <w:b w:val="0"/>
                <w:bCs/>
                <w:color w:val="auto"/>
                <w:sz w:val="22"/>
                <w:szCs w:val="22"/>
                <w:highlight w:val="none"/>
              </w:rPr>
            </w:pPr>
            <w:r>
              <w:rPr>
                <w:b w:val="0"/>
                <w:bCs/>
                <w:color w:val="auto"/>
                <w:sz w:val="22"/>
                <w:szCs w:val="22"/>
                <w:highlight w:val="none"/>
              </w:rPr>
              <w:t>4</w:t>
            </w:r>
          </w:p>
        </w:tc>
        <w:tc>
          <w:tcPr>
            <w:tcW w:w="2408" w:type="dxa"/>
            <w:vAlign w:val="center"/>
          </w:tcPr>
          <w:p w14:paraId="7F034A56">
            <w:pPr>
              <w:pStyle w:val="335"/>
              <w:jc w:val="center"/>
              <w:rPr>
                <w:b w:val="0"/>
                <w:bCs/>
                <w:color w:val="auto"/>
                <w:sz w:val="22"/>
                <w:szCs w:val="22"/>
                <w:highlight w:val="none"/>
              </w:rPr>
            </w:pPr>
            <w:r>
              <w:rPr>
                <w:b w:val="0"/>
                <w:bCs/>
                <w:color w:val="auto"/>
                <w:sz w:val="22"/>
                <w:szCs w:val="22"/>
                <w:highlight w:val="none"/>
              </w:rPr>
              <w:t>JB/T8609-2014</w:t>
            </w:r>
          </w:p>
        </w:tc>
        <w:tc>
          <w:tcPr>
            <w:tcW w:w="6627" w:type="dxa"/>
            <w:vAlign w:val="center"/>
          </w:tcPr>
          <w:p w14:paraId="7F034A57">
            <w:pPr>
              <w:pStyle w:val="335"/>
              <w:jc w:val="center"/>
              <w:rPr>
                <w:b w:val="0"/>
                <w:bCs/>
                <w:color w:val="auto"/>
                <w:sz w:val="22"/>
                <w:szCs w:val="22"/>
                <w:highlight w:val="none"/>
                <w:lang w:eastAsia="zh-CN"/>
              </w:rPr>
            </w:pPr>
            <w:r>
              <w:rPr>
                <w:rFonts w:hint="eastAsia"/>
                <w:b w:val="0"/>
                <w:bCs/>
                <w:color w:val="auto"/>
                <w:sz w:val="22"/>
                <w:szCs w:val="22"/>
                <w:highlight w:val="none"/>
                <w:lang w:eastAsia="zh-CN"/>
              </w:rPr>
              <w:t>《锻压机械焊接技术条件》</w:t>
            </w:r>
          </w:p>
        </w:tc>
      </w:tr>
      <w:tr w14:paraId="7F034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59">
            <w:pPr>
              <w:pStyle w:val="335"/>
              <w:jc w:val="center"/>
              <w:rPr>
                <w:b w:val="0"/>
                <w:bCs/>
                <w:color w:val="auto"/>
                <w:sz w:val="22"/>
                <w:szCs w:val="22"/>
                <w:highlight w:val="none"/>
              </w:rPr>
            </w:pPr>
            <w:r>
              <w:rPr>
                <w:b w:val="0"/>
                <w:bCs/>
                <w:color w:val="auto"/>
                <w:sz w:val="22"/>
                <w:szCs w:val="22"/>
                <w:highlight w:val="none"/>
              </w:rPr>
              <w:t>5</w:t>
            </w:r>
          </w:p>
        </w:tc>
        <w:tc>
          <w:tcPr>
            <w:tcW w:w="2408" w:type="dxa"/>
            <w:vAlign w:val="center"/>
          </w:tcPr>
          <w:p w14:paraId="7F034A5A">
            <w:pPr>
              <w:pStyle w:val="335"/>
              <w:jc w:val="center"/>
              <w:rPr>
                <w:b w:val="0"/>
                <w:bCs/>
                <w:color w:val="auto"/>
                <w:sz w:val="22"/>
                <w:szCs w:val="22"/>
                <w:highlight w:val="none"/>
              </w:rPr>
            </w:pPr>
            <w:r>
              <w:rPr>
                <w:b w:val="0"/>
                <w:bCs/>
                <w:color w:val="auto"/>
                <w:sz w:val="22"/>
                <w:szCs w:val="22"/>
                <w:highlight w:val="none"/>
              </w:rPr>
              <w:t>Q/12YJ4319-2010</w:t>
            </w:r>
          </w:p>
        </w:tc>
        <w:tc>
          <w:tcPr>
            <w:tcW w:w="6627" w:type="dxa"/>
            <w:vAlign w:val="center"/>
          </w:tcPr>
          <w:p w14:paraId="7F034A5B">
            <w:pPr>
              <w:pStyle w:val="335"/>
              <w:jc w:val="center"/>
              <w:rPr>
                <w:b w:val="0"/>
                <w:bCs/>
                <w:color w:val="auto"/>
                <w:sz w:val="22"/>
                <w:szCs w:val="22"/>
                <w:highlight w:val="none"/>
              </w:rPr>
            </w:pPr>
            <w:r>
              <w:rPr>
                <w:rFonts w:hint="eastAsia"/>
                <w:b w:val="0"/>
                <w:bCs/>
                <w:color w:val="auto"/>
                <w:sz w:val="22"/>
                <w:szCs w:val="22"/>
                <w:highlight w:val="none"/>
              </w:rPr>
              <w:t>《专用液压机精度》</w:t>
            </w:r>
          </w:p>
        </w:tc>
      </w:tr>
      <w:tr w14:paraId="7F034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603" w:type="dxa"/>
            <w:vAlign w:val="center"/>
          </w:tcPr>
          <w:p w14:paraId="7F034A5D">
            <w:pPr>
              <w:pStyle w:val="335"/>
              <w:jc w:val="center"/>
              <w:rPr>
                <w:b w:val="0"/>
                <w:bCs/>
                <w:color w:val="auto"/>
                <w:sz w:val="22"/>
                <w:szCs w:val="22"/>
                <w:highlight w:val="none"/>
              </w:rPr>
            </w:pPr>
            <w:r>
              <w:rPr>
                <w:b w:val="0"/>
                <w:bCs/>
                <w:color w:val="auto"/>
                <w:sz w:val="22"/>
                <w:szCs w:val="22"/>
                <w:highlight w:val="none"/>
              </w:rPr>
              <w:t>6</w:t>
            </w:r>
          </w:p>
        </w:tc>
        <w:tc>
          <w:tcPr>
            <w:tcW w:w="2408" w:type="dxa"/>
            <w:vAlign w:val="center"/>
          </w:tcPr>
          <w:p w14:paraId="7F034A5E">
            <w:pPr>
              <w:pStyle w:val="335"/>
              <w:jc w:val="center"/>
              <w:rPr>
                <w:b w:val="0"/>
                <w:bCs/>
                <w:color w:val="auto"/>
                <w:sz w:val="22"/>
                <w:szCs w:val="22"/>
                <w:highlight w:val="none"/>
              </w:rPr>
            </w:pPr>
            <w:r>
              <w:rPr>
                <w:b w:val="0"/>
                <w:bCs/>
                <w:color w:val="auto"/>
                <w:sz w:val="22"/>
                <w:szCs w:val="22"/>
                <w:highlight w:val="none"/>
              </w:rPr>
              <w:t>GB/5226.1-2019</w:t>
            </w:r>
          </w:p>
        </w:tc>
        <w:tc>
          <w:tcPr>
            <w:tcW w:w="6627" w:type="dxa"/>
            <w:vAlign w:val="center"/>
          </w:tcPr>
          <w:p w14:paraId="7F034A5F">
            <w:pPr>
              <w:pStyle w:val="335"/>
              <w:jc w:val="center"/>
              <w:rPr>
                <w:b w:val="0"/>
                <w:bCs/>
                <w:color w:val="auto"/>
                <w:sz w:val="22"/>
                <w:szCs w:val="22"/>
                <w:highlight w:val="none"/>
                <w:lang w:eastAsia="zh-CN"/>
              </w:rPr>
            </w:pPr>
            <w:r>
              <w:rPr>
                <w:rFonts w:hint="eastAsia"/>
                <w:b w:val="0"/>
                <w:bCs/>
                <w:color w:val="auto"/>
                <w:sz w:val="22"/>
                <w:szCs w:val="22"/>
                <w:highlight w:val="none"/>
                <w:lang w:eastAsia="zh-CN"/>
              </w:rPr>
              <w:t>《机械安全 机械电气设备 第一部分：通用技术条件》</w:t>
            </w:r>
          </w:p>
        </w:tc>
      </w:tr>
    </w:tbl>
    <w:p w14:paraId="7F034A61">
      <w:pPr>
        <w:spacing w:line="460" w:lineRule="exact"/>
        <w:rPr>
          <w:rFonts w:ascii="宋体" w:hAnsi="宋体" w:cs="宋体"/>
          <w:b w:val="0"/>
          <w:bCs/>
          <w:color w:val="auto"/>
          <w:sz w:val="24"/>
          <w:highlight w:val="none"/>
        </w:rPr>
      </w:pPr>
    </w:p>
    <w:p w14:paraId="7F034A62">
      <w:pPr>
        <w:spacing w:line="460" w:lineRule="exact"/>
        <w:rPr>
          <w:rFonts w:ascii="宋体" w:hAnsi="宋体" w:cs="宋体"/>
          <w:b w:val="0"/>
          <w:bCs/>
          <w:color w:val="auto"/>
          <w:sz w:val="24"/>
          <w:highlight w:val="none"/>
        </w:rPr>
      </w:pPr>
    </w:p>
    <w:p w14:paraId="7F034A63">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6、电极块压制工艺流程与电极块要求</w:t>
      </w:r>
    </w:p>
    <w:p w14:paraId="7F034A6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本技术要求所述</w:t>
      </w:r>
      <w:r>
        <w:rPr>
          <w:rFonts w:ascii="宋体" w:hAnsi="宋体" w:cs="宋体"/>
          <w:b w:val="0"/>
          <w:bCs/>
          <w:color w:val="auto"/>
          <w:sz w:val="24"/>
          <w:highlight w:val="none"/>
        </w:rPr>
        <w:t>45</w:t>
      </w:r>
      <w:r>
        <w:rPr>
          <w:rFonts w:hint="eastAsia" w:ascii="宋体" w:hAnsi="宋体" w:cs="宋体"/>
          <w:b w:val="0"/>
          <w:bCs/>
          <w:color w:val="auto"/>
          <w:sz w:val="24"/>
          <w:highlight w:val="none"/>
        </w:rPr>
        <w:t>MN电极压制机组应能够实现本节所述工艺流程和电极块压制的要求。</w:t>
      </w:r>
    </w:p>
    <w:p w14:paraId="7F034A65">
      <w:pPr>
        <w:spacing w:line="460" w:lineRule="exact"/>
        <w:rPr>
          <w:rFonts w:ascii="宋体" w:hAnsi="宋体" w:cs="宋体"/>
          <w:b w:val="0"/>
          <w:bCs/>
          <w:color w:val="auto"/>
          <w:sz w:val="24"/>
          <w:highlight w:val="none"/>
        </w:rPr>
      </w:pPr>
      <w:r>
        <w:rPr>
          <w:rFonts w:ascii="宋体" w:hAnsi="宋体" w:cs="宋体"/>
          <w:b w:val="0"/>
          <w:bCs/>
          <w:color w:val="auto"/>
          <w:sz w:val="24"/>
          <w:highlight w:val="none"/>
        </w:rPr>
        <w:t>▶</w:t>
      </w:r>
      <w:r>
        <w:rPr>
          <w:rFonts w:hint="eastAsia" w:ascii="宋体" w:hAnsi="宋体" w:cs="宋体"/>
          <w:b w:val="0"/>
          <w:bCs/>
          <w:color w:val="auto"/>
          <w:sz w:val="24"/>
          <w:highlight w:val="none"/>
        </w:rPr>
        <w:t>上料装置：</w:t>
      </w:r>
    </w:p>
    <w:p w14:paraId="7F034A66">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甲方混布料系统工作输出的混合料经上料装置进入完好安装于电极块压制系统的模具内；</w:t>
      </w:r>
    </w:p>
    <w:p w14:paraId="7F034A67">
      <w:pPr>
        <w:spacing w:line="460" w:lineRule="exact"/>
        <w:rPr>
          <w:rFonts w:ascii="宋体" w:hAnsi="宋体" w:cs="宋体"/>
          <w:b w:val="0"/>
          <w:bCs/>
          <w:color w:val="auto"/>
          <w:sz w:val="24"/>
          <w:highlight w:val="none"/>
        </w:rPr>
      </w:pPr>
      <w:r>
        <w:rPr>
          <w:rFonts w:ascii="宋体" w:hAnsi="宋体" w:cs="宋体"/>
          <w:b w:val="0"/>
          <w:bCs/>
          <w:color w:val="auto"/>
          <w:sz w:val="24"/>
          <w:highlight w:val="none"/>
        </w:rPr>
        <w:t>▶</w:t>
      </w:r>
      <w:r>
        <w:rPr>
          <w:rFonts w:hint="eastAsia" w:ascii="宋体" w:hAnsi="宋体" w:cs="宋体"/>
          <w:b w:val="0"/>
          <w:bCs/>
          <w:color w:val="auto"/>
          <w:sz w:val="24"/>
          <w:highlight w:val="none"/>
        </w:rPr>
        <w:t>电极块压制系统</w:t>
      </w:r>
    </w:p>
    <w:p w14:paraId="7F034A68">
      <w:pPr>
        <w:spacing w:line="460" w:lineRule="exact"/>
        <w:ind w:firstLine="240" w:firstLineChars="100"/>
        <w:rPr>
          <w:rFonts w:ascii="宋体" w:hAnsi="宋体" w:cs="宋体"/>
          <w:b w:val="0"/>
          <w:bCs/>
          <w:color w:val="auto"/>
          <w:szCs w:val="21"/>
          <w:highlight w:val="none"/>
        </w:rPr>
      </w:pPr>
      <w:r>
        <w:rPr>
          <w:rFonts w:hint="eastAsia" w:ascii="宋体" w:hAnsi="宋体" w:cs="宋体"/>
          <w:b w:val="0"/>
          <w:bCs/>
          <w:color w:val="auto"/>
          <w:sz w:val="24"/>
          <w:highlight w:val="none"/>
        </w:rPr>
        <w:t>→液压机完成电极块压制（采用“浮动压制”的方式进一步提高压制方向电极块底部密度）；</w:t>
      </w:r>
    </w:p>
    <w:p w14:paraId="7F034A69">
      <w:pPr>
        <w:spacing w:line="460" w:lineRule="exact"/>
        <w:ind w:firstLine="240" w:firstLineChars="100"/>
        <w:rPr>
          <w:rFonts w:ascii="宋体" w:hAnsi="宋体" w:cs="宋体"/>
          <w:b w:val="0"/>
          <w:bCs/>
          <w:color w:val="auto"/>
          <w:sz w:val="24"/>
          <w:highlight w:val="none"/>
        </w:rPr>
      </w:pPr>
      <w:r>
        <w:rPr>
          <w:rFonts w:hint="eastAsia" w:ascii="宋体" w:hAnsi="宋体" w:cs="宋体"/>
          <w:b w:val="0"/>
          <w:bCs/>
          <w:color w:val="auto"/>
          <w:sz w:val="24"/>
          <w:highlight w:val="none"/>
        </w:rPr>
        <w:t>→电极块脱模与顶出；</w:t>
      </w:r>
    </w:p>
    <w:p w14:paraId="7F034A6A">
      <w:pPr>
        <w:spacing w:line="460" w:lineRule="exact"/>
        <w:rPr>
          <w:rFonts w:ascii="宋体" w:hAnsi="宋体" w:cs="宋体"/>
          <w:b w:val="0"/>
          <w:bCs/>
          <w:color w:val="auto"/>
          <w:sz w:val="24"/>
          <w:highlight w:val="none"/>
        </w:rPr>
      </w:pPr>
      <w:r>
        <w:rPr>
          <w:rFonts w:ascii="宋体" w:hAnsi="宋体" w:cs="宋体"/>
          <w:b w:val="0"/>
          <w:bCs/>
          <w:color w:val="auto"/>
          <w:sz w:val="24"/>
          <w:highlight w:val="none"/>
        </w:rPr>
        <w:t>▶</w:t>
      </w:r>
      <w:r>
        <w:rPr>
          <w:rFonts w:hint="eastAsia" w:ascii="宋体" w:hAnsi="宋体" w:cs="宋体"/>
          <w:b w:val="0"/>
          <w:bCs/>
          <w:color w:val="auto"/>
          <w:sz w:val="24"/>
          <w:highlight w:val="none"/>
        </w:rPr>
        <w:t>电极块码垛系统</w:t>
      </w:r>
    </w:p>
    <w:p w14:paraId="7F034A6B">
      <w:pPr>
        <w:spacing w:line="460" w:lineRule="exact"/>
        <w:ind w:firstLine="240" w:firstLineChars="100"/>
        <w:rPr>
          <w:rFonts w:ascii="宋体" w:hAnsi="宋体" w:cs="宋体"/>
          <w:b w:val="0"/>
          <w:bCs/>
          <w:color w:val="auto"/>
          <w:sz w:val="24"/>
          <w:highlight w:val="none"/>
        </w:rPr>
      </w:pPr>
      <w:r>
        <w:rPr>
          <w:rFonts w:hint="eastAsia" w:ascii="宋体" w:hAnsi="宋体" w:cs="宋体"/>
          <w:b w:val="0"/>
          <w:bCs/>
          <w:color w:val="auto"/>
          <w:sz w:val="24"/>
          <w:highlight w:val="none"/>
        </w:rPr>
        <w:t>→电极块重量复称</w:t>
      </w:r>
    </w:p>
    <w:p w14:paraId="7F034A6C">
      <w:pPr>
        <w:spacing w:line="460" w:lineRule="exact"/>
        <w:ind w:firstLine="240" w:firstLineChars="100"/>
        <w:rPr>
          <w:rFonts w:ascii="宋体" w:hAnsi="宋体" w:cs="宋体"/>
          <w:b w:val="0"/>
          <w:bCs/>
          <w:color w:val="auto"/>
          <w:sz w:val="24"/>
          <w:highlight w:val="none"/>
        </w:rPr>
      </w:pPr>
      <w:r>
        <w:rPr>
          <w:rFonts w:hint="eastAsia" w:ascii="宋体" w:hAnsi="宋体" w:cs="宋体"/>
          <w:b w:val="0"/>
          <w:bCs/>
          <w:color w:val="auto"/>
          <w:sz w:val="24"/>
          <w:highlight w:val="none"/>
        </w:rPr>
        <w:t>→电极块经由码垛系统（含翻转拼接功能），在单工位集料台上完成码垛。</w:t>
      </w:r>
    </w:p>
    <w:p w14:paraId="7F034A6D">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6.1 </w:t>
      </w:r>
      <w:r>
        <w:rPr>
          <w:rFonts w:hint="eastAsia" w:ascii="宋体" w:hAnsi="宋体" w:cs="宋体"/>
          <w:b w:val="0"/>
          <w:bCs/>
          <w:color w:val="auto"/>
          <w:sz w:val="24"/>
          <w:highlight w:val="none"/>
        </w:rPr>
        <w:t>上料装置</w:t>
      </w:r>
    </w:p>
    <w:p w14:paraId="7F034A6E">
      <w:pPr>
        <w:widowControl/>
        <w:spacing w:line="46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上料装置的结构及功能应可靠稳定并便于维保，所有盛装原料的料仓、容器，接触物料的钢板以及可能造成物料污染的设备或容器不能使用钨极氩弧焊，且焊缝处理光滑，不能存料。上料装置不宜采用传送带形式；为了确保物料全部落入压机模具，应配置震动。</w:t>
      </w:r>
    </w:p>
    <w:p w14:paraId="7F034A6F">
      <w:pPr>
        <w:widowControl/>
        <w:spacing w:line="46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物料盛装容器和输送通道可设置压缩空气自动吹扫功能，在结构空间上，应便于人工进一步清理，以确保更换原材料后无交叉污染。</w:t>
      </w:r>
    </w:p>
    <w:p w14:paraId="7F034A70">
      <w:pPr>
        <w:widowControl/>
        <w:spacing w:line="46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上料装置的各组成部件应设置防阻尘结构或装置，减少原材料粉末对设备的影响。上料装置应设置降尘结构或装置，减少原材料落入模具时产生的扬尘对环境造成影响。</w:t>
      </w:r>
    </w:p>
    <w:p w14:paraId="7F034A71">
      <w:pPr>
        <w:widowControl/>
        <w:spacing w:line="46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料仓单次最大装料量以乙方最终设计为准（为确保电极块均能实现一次压制成型，参考按≥110kg设计料仓容量），</w:t>
      </w:r>
      <w:r>
        <w:rPr>
          <w:rFonts w:hint="eastAsia" w:ascii="宋体" w:hAnsi="宋体" w:cs="宋体"/>
          <w:b w:val="0"/>
          <w:bCs/>
          <w:color w:val="auto"/>
          <w:kern w:val="0"/>
          <w:sz w:val="24"/>
          <w:highlight w:val="none"/>
          <w:lang w:bidi="ar"/>
        </w:rPr>
        <w:t>散料平均密度约为</w:t>
      </w:r>
      <w:r>
        <w:rPr>
          <w:rFonts w:ascii="宋体" w:hAnsi="宋体" w:cs="宋体"/>
          <w:b w:val="0"/>
          <w:bCs/>
          <w:color w:val="auto"/>
          <w:kern w:val="0"/>
          <w:sz w:val="24"/>
          <w:highlight w:val="none"/>
          <w:lang w:bidi="ar"/>
        </w:rPr>
        <w:t>1.1g/cm</w:t>
      </w:r>
      <w:r>
        <w:rPr>
          <w:rFonts w:hint="eastAsia" w:ascii="宋体" w:hAnsi="宋体" w:cs="宋体"/>
          <w:b w:val="0"/>
          <w:bCs/>
          <w:color w:val="auto"/>
          <w:kern w:val="0"/>
          <w:sz w:val="24"/>
          <w:highlight w:val="none"/>
          <w:lang w:bidi="ar"/>
        </w:rPr>
        <w:t>³</w:t>
      </w:r>
      <w:r>
        <w:rPr>
          <w:rFonts w:hint="eastAsia" w:ascii="宋体" w:hAnsi="宋体" w:cs="宋体"/>
          <w:b w:val="0"/>
          <w:bCs/>
          <w:color w:val="auto"/>
          <w:sz w:val="24"/>
          <w:highlight w:val="none"/>
        </w:rPr>
        <w:t>。</w:t>
      </w:r>
    </w:p>
    <w:p w14:paraId="7F034A72">
      <w:pPr>
        <w:widowControl/>
        <w:spacing w:line="46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乙方提供上料装置设计方案/图，图中除表达上料装置外，应注明距厂房±0的标高，以便甲方配套混料机出口标高和技术方案。</w:t>
      </w:r>
    </w:p>
    <w:p w14:paraId="7F034A73">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6.2 电极块压制系统</w:t>
      </w:r>
    </w:p>
    <w:p w14:paraId="7F034A7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电极块密度：钛及钛合金3.3~3.6g/cm³（材料密度按4.5）。</w:t>
      </w:r>
    </w:p>
    <w:p w14:paraId="7F034A75">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压制的电极块的断面形状、名义尺寸、重量，如表</w:t>
      </w:r>
      <w:r>
        <w:rPr>
          <w:rFonts w:ascii="宋体" w:hAnsi="宋体" w:cs="宋体"/>
          <w:b w:val="0"/>
          <w:bCs/>
          <w:color w:val="auto"/>
          <w:sz w:val="24"/>
          <w:highlight w:val="none"/>
        </w:rPr>
        <w:t>1</w:t>
      </w:r>
      <w:r>
        <w:rPr>
          <w:rFonts w:hint="eastAsia" w:ascii="宋体" w:hAnsi="宋体" w:cs="宋体"/>
          <w:b w:val="0"/>
          <w:bCs/>
          <w:color w:val="auto"/>
          <w:sz w:val="24"/>
          <w:highlight w:val="none"/>
        </w:rPr>
        <w:t>所示。</w:t>
      </w:r>
    </w:p>
    <w:p w14:paraId="7F034A76">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乙方可在表1基础上进行详细设计、改进设计，但单块重量和压实密度不得小于表1中的要求。</w:t>
      </w:r>
    </w:p>
    <w:p w14:paraId="7F034A77">
      <w:pPr>
        <w:spacing w:line="460" w:lineRule="exact"/>
        <w:ind w:firstLine="480" w:firstLineChars="200"/>
        <w:rPr>
          <w:rFonts w:ascii="宋体" w:hAnsi="宋体" w:cs="宋体"/>
          <w:b w:val="0"/>
          <w:bCs/>
          <w:color w:val="auto"/>
          <w:sz w:val="24"/>
          <w:highlight w:val="none"/>
        </w:rPr>
      </w:pPr>
    </w:p>
    <w:p w14:paraId="7F034A78">
      <w:pPr>
        <w:spacing w:line="460" w:lineRule="exact"/>
        <w:jc w:val="center"/>
        <w:rPr>
          <w:rFonts w:ascii="宋体" w:hAnsi="宋体" w:cs="宋体"/>
          <w:b w:val="0"/>
          <w:bCs/>
          <w:color w:val="auto"/>
          <w:sz w:val="24"/>
          <w:highlight w:val="none"/>
        </w:rPr>
      </w:pPr>
      <w:r>
        <w:rPr>
          <w:rFonts w:hint="eastAsia" w:ascii="宋体" w:hAnsi="宋体" w:cs="宋体"/>
          <w:b w:val="0"/>
          <w:bCs/>
          <w:color w:val="auto"/>
          <w:sz w:val="24"/>
          <w:highlight w:val="none"/>
        </w:rPr>
        <w:t>表1  电极块的名义尺寸、重量</w:t>
      </w:r>
    </w:p>
    <w:tbl>
      <w:tblPr>
        <w:tblStyle w:val="46"/>
        <w:tblW w:w="93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2163"/>
        <w:gridCol w:w="995"/>
        <w:gridCol w:w="995"/>
        <w:gridCol w:w="1033"/>
        <w:gridCol w:w="1034"/>
        <w:gridCol w:w="1250"/>
        <w:gridCol w:w="1298"/>
      </w:tblGrid>
      <w:tr w14:paraId="7F034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545" w:type="dxa"/>
            <w:vMerge w:val="restart"/>
            <w:vAlign w:val="center"/>
          </w:tcPr>
          <w:p w14:paraId="7F034A79">
            <w:pPr>
              <w:pStyle w:val="335"/>
              <w:spacing w:line="0" w:lineRule="atLeast"/>
              <w:jc w:val="center"/>
              <w:rPr>
                <w:b w:val="0"/>
                <w:bCs/>
                <w:color w:val="auto"/>
                <w:sz w:val="22"/>
                <w:szCs w:val="22"/>
                <w:highlight w:val="none"/>
              </w:rPr>
            </w:pPr>
            <w:r>
              <w:rPr>
                <w:rFonts w:hint="eastAsia"/>
                <w:b w:val="0"/>
                <w:bCs/>
                <w:color w:val="auto"/>
                <w:sz w:val="22"/>
                <w:szCs w:val="22"/>
                <w:highlight w:val="none"/>
              </w:rPr>
              <w:t>序</w:t>
            </w:r>
          </w:p>
          <w:p w14:paraId="7F034A7A">
            <w:pPr>
              <w:pStyle w:val="335"/>
              <w:spacing w:line="0" w:lineRule="atLeast"/>
              <w:jc w:val="center"/>
              <w:rPr>
                <w:b w:val="0"/>
                <w:bCs/>
                <w:color w:val="auto"/>
                <w:sz w:val="22"/>
                <w:szCs w:val="22"/>
                <w:highlight w:val="none"/>
              </w:rPr>
            </w:pPr>
            <w:r>
              <w:rPr>
                <w:rFonts w:hint="eastAsia"/>
                <w:b w:val="0"/>
                <w:bCs/>
                <w:color w:val="auto"/>
                <w:sz w:val="22"/>
                <w:szCs w:val="22"/>
                <w:highlight w:val="none"/>
              </w:rPr>
              <w:t>号</w:t>
            </w:r>
          </w:p>
        </w:tc>
        <w:tc>
          <w:tcPr>
            <w:tcW w:w="2163" w:type="dxa"/>
            <w:vMerge w:val="restart"/>
            <w:vAlign w:val="center"/>
          </w:tcPr>
          <w:p w14:paraId="7F034A7B">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单块电极块</w:t>
            </w:r>
          </w:p>
          <w:p w14:paraId="7F034A7C">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名义规格/mm</w:t>
            </w:r>
          </w:p>
        </w:tc>
        <w:tc>
          <w:tcPr>
            <w:tcW w:w="995" w:type="dxa"/>
            <w:vMerge w:val="restart"/>
            <w:vAlign w:val="center"/>
          </w:tcPr>
          <w:p w14:paraId="7F034A7D">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横截面</w:t>
            </w:r>
          </w:p>
          <w:p w14:paraId="7F034A7E">
            <w:pPr>
              <w:pStyle w:val="335"/>
              <w:spacing w:line="0" w:lineRule="atLeast"/>
              <w:jc w:val="center"/>
              <w:rPr>
                <w:b w:val="0"/>
                <w:bCs/>
                <w:color w:val="auto"/>
                <w:sz w:val="22"/>
                <w:szCs w:val="22"/>
                <w:highlight w:val="none"/>
              </w:rPr>
            </w:pPr>
            <w:r>
              <w:rPr>
                <w:rFonts w:hint="eastAsia"/>
                <w:b w:val="0"/>
                <w:bCs/>
                <w:color w:val="auto"/>
                <w:sz w:val="22"/>
                <w:szCs w:val="22"/>
                <w:highlight w:val="none"/>
              </w:rPr>
              <w:t>形状</w:t>
            </w:r>
          </w:p>
        </w:tc>
        <w:tc>
          <w:tcPr>
            <w:tcW w:w="995" w:type="dxa"/>
            <w:vMerge w:val="restart"/>
            <w:tcBorders>
              <w:right w:val="single" w:color="auto" w:sz="4" w:space="0"/>
            </w:tcBorders>
            <w:vAlign w:val="center"/>
          </w:tcPr>
          <w:p w14:paraId="7F034A7F">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单块</w:t>
            </w:r>
            <w:r>
              <w:rPr>
                <w:rFonts w:hint="eastAsia"/>
                <w:b w:val="0"/>
                <w:bCs/>
                <w:color w:val="auto"/>
                <w:sz w:val="22"/>
                <w:szCs w:val="22"/>
                <w:highlight w:val="none"/>
              </w:rPr>
              <w:t>重</w:t>
            </w:r>
            <w:r>
              <w:rPr>
                <w:rFonts w:hint="eastAsia"/>
                <w:b w:val="0"/>
                <w:bCs/>
                <w:color w:val="auto"/>
                <w:sz w:val="22"/>
                <w:szCs w:val="22"/>
                <w:highlight w:val="none"/>
                <w:lang w:eastAsia="zh-CN"/>
              </w:rPr>
              <w:t>量</w:t>
            </w:r>
          </w:p>
          <w:p w14:paraId="7F034A80">
            <w:pPr>
              <w:pStyle w:val="335"/>
              <w:spacing w:line="0" w:lineRule="atLeast"/>
              <w:jc w:val="center"/>
              <w:rPr>
                <w:b w:val="0"/>
                <w:bCs/>
                <w:color w:val="auto"/>
                <w:sz w:val="22"/>
                <w:szCs w:val="22"/>
                <w:highlight w:val="none"/>
              </w:rPr>
            </w:pPr>
            <w:r>
              <w:rPr>
                <w:b w:val="0"/>
                <w:bCs/>
                <w:color w:val="auto"/>
                <w:sz w:val="22"/>
                <w:szCs w:val="22"/>
                <w:highlight w:val="none"/>
                <w:lang w:eastAsia="zh-CN"/>
              </w:rPr>
              <w:t>kg</w:t>
            </w:r>
          </w:p>
        </w:tc>
        <w:tc>
          <w:tcPr>
            <w:tcW w:w="2067" w:type="dxa"/>
            <w:gridSpan w:val="2"/>
            <w:tcBorders>
              <w:left w:val="single" w:color="auto" w:sz="4" w:space="0"/>
              <w:bottom w:val="single" w:color="auto" w:sz="4" w:space="0"/>
            </w:tcBorders>
            <w:vAlign w:val="center"/>
          </w:tcPr>
          <w:p w14:paraId="7F034A81">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密度 g/cm</w:t>
            </w:r>
            <w:r>
              <w:rPr>
                <w:b w:val="0"/>
                <w:bCs/>
                <w:color w:val="auto"/>
                <w:sz w:val="22"/>
                <w:szCs w:val="22"/>
                <w:highlight w:val="none"/>
                <w:vertAlign w:val="superscript"/>
                <w:lang w:eastAsia="zh-CN"/>
              </w:rPr>
              <w:t>3</w:t>
            </w:r>
          </w:p>
        </w:tc>
        <w:tc>
          <w:tcPr>
            <w:tcW w:w="2548" w:type="dxa"/>
            <w:gridSpan w:val="2"/>
            <w:vMerge w:val="restart"/>
            <w:vAlign w:val="center"/>
          </w:tcPr>
          <w:p w14:paraId="7F034A82">
            <w:pPr>
              <w:pStyle w:val="335"/>
              <w:spacing w:line="0" w:lineRule="atLeast"/>
              <w:jc w:val="center"/>
              <w:rPr>
                <w:b w:val="0"/>
                <w:bCs/>
                <w:color w:val="auto"/>
                <w:sz w:val="22"/>
                <w:szCs w:val="22"/>
                <w:highlight w:val="none"/>
              </w:rPr>
            </w:pPr>
            <w:r>
              <w:rPr>
                <w:rFonts w:hint="eastAsia"/>
                <w:b w:val="0"/>
                <w:bCs/>
                <w:color w:val="auto"/>
                <w:sz w:val="22"/>
                <w:szCs w:val="22"/>
                <w:highlight w:val="none"/>
              </w:rPr>
              <w:t>备注</w:t>
            </w:r>
          </w:p>
        </w:tc>
      </w:tr>
      <w:tr w14:paraId="7F034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545" w:type="dxa"/>
            <w:vMerge w:val="continue"/>
            <w:vAlign w:val="center"/>
          </w:tcPr>
          <w:p w14:paraId="7F034A84">
            <w:pPr>
              <w:pStyle w:val="335"/>
              <w:spacing w:line="0" w:lineRule="atLeast"/>
              <w:jc w:val="center"/>
              <w:rPr>
                <w:b w:val="0"/>
                <w:bCs/>
                <w:color w:val="auto"/>
                <w:sz w:val="22"/>
                <w:szCs w:val="22"/>
                <w:highlight w:val="none"/>
              </w:rPr>
            </w:pPr>
          </w:p>
        </w:tc>
        <w:tc>
          <w:tcPr>
            <w:tcW w:w="2163" w:type="dxa"/>
            <w:vMerge w:val="continue"/>
            <w:vAlign w:val="center"/>
          </w:tcPr>
          <w:p w14:paraId="7F034A85">
            <w:pPr>
              <w:pStyle w:val="335"/>
              <w:spacing w:line="0" w:lineRule="atLeast"/>
              <w:jc w:val="center"/>
              <w:rPr>
                <w:b w:val="0"/>
                <w:bCs/>
                <w:color w:val="auto"/>
                <w:sz w:val="22"/>
                <w:szCs w:val="22"/>
                <w:highlight w:val="none"/>
              </w:rPr>
            </w:pPr>
          </w:p>
        </w:tc>
        <w:tc>
          <w:tcPr>
            <w:tcW w:w="995" w:type="dxa"/>
            <w:vMerge w:val="continue"/>
            <w:vAlign w:val="center"/>
          </w:tcPr>
          <w:p w14:paraId="7F034A86">
            <w:pPr>
              <w:pStyle w:val="335"/>
              <w:spacing w:line="0" w:lineRule="atLeast"/>
              <w:jc w:val="center"/>
              <w:rPr>
                <w:b w:val="0"/>
                <w:bCs/>
                <w:color w:val="auto"/>
                <w:sz w:val="22"/>
                <w:szCs w:val="22"/>
                <w:highlight w:val="none"/>
              </w:rPr>
            </w:pPr>
          </w:p>
        </w:tc>
        <w:tc>
          <w:tcPr>
            <w:tcW w:w="995" w:type="dxa"/>
            <w:vMerge w:val="continue"/>
            <w:tcBorders>
              <w:right w:val="single" w:color="auto" w:sz="4" w:space="0"/>
            </w:tcBorders>
            <w:vAlign w:val="center"/>
          </w:tcPr>
          <w:p w14:paraId="7F034A87">
            <w:pPr>
              <w:pStyle w:val="335"/>
              <w:spacing w:line="0" w:lineRule="atLeast"/>
              <w:jc w:val="center"/>
              <w:rPr>
                <w:b w:val="0"/>
                <w:bCs/>
                <w:color w:val="auto"/>
                <w:sz w:val="22"/>
                <w:szCs w:val="22"/>
                <w:highlight w:val="none"/>
              </w:rPr>
            </w:pPr>
          </w:p>
        </w:tc>
        <w:tc>
          <w:tcPr>
            <w:tcW w:w="1033" w:type="dxa"/>
            <w:tcBorders>
              <w:top w:val="single" w:color="auto" w:sz="4" w:space="0"/>
              <w:left w:val="single" w:color="auto" w:sz="4" w:space="0"/>
              <w:right w:val="single" w:color="auto" w:sz="4" w:space="0"/>
            </w:tcBorders>
            <w:vAlign w:val="center"/>
          </w:tcPr>
          <w:p w14:paraId="7F034A88">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材料</w:t>
            </w:r>
          </w:p>
        </w:tc>
        <w:tc>
          <w:tcPr>
            <w:tcW w:w="1034" w:type="dxa"/>
            <w:tcBorders>
              <w:top w:val="single" w:color="auto" w:sz="4" w:space="0"/>
              <w:left w:val="single" w:color="auto" w:sz="4" w:space="0"/>
            </w:tcBorders>
            <w:vAlign w:val="center"/>
          </w:tcPr>
          <w:p w14:paraId="7F034A89">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压实≥</w:t>
            </w:r>
          </w:p>
        </w:tc>
        <w:tc>
          <w:tcPr>
            <w:tcW w:w="2548" w:type="dxa"/>
            <w:gridSpan w:val="2"/>
            <w:vMerge w:val="continue"/>
            <w:vAlign w:val="center"/>
          </w:tcPr>
          <w:p w14:paraId="7F034A8A">
            <w:pPr>
              <w:pStyle w:val="335"/>
              <w:spacing w:line="0" w:lineRule="atLeast"/>
              <w:jc w:val="center"/>
              <w:rPr>
                <w:b w:val="0"/>
                <w:bCs/>
                <w:color w:val="auto"/>
                <w:sz w:val="22"/>
                <w:szCs w:val="22"/>
                <w:highlight w:val="none"/>
              </w:rPr>
            </w:pPr>
          </w:p>
        </w:tc>
      </w:tr>
      <w:tr w14:paraId="7F034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Align w:val="center"/>
          </w:tcPr>
          <w:p w14:paraId="7F034A8C">
            <w:pPr>
              <w:pStyle w:val="335"/>
              <w:spacing w:line="0" w:lineRule="atLeast"/>
              <w:jc w:val="center"/>
              <w:rPr>
                <w:b w:val="0"/>
                <w:bCs/>
                <w:color w:val="auto"/>
                <w:sz w:val="22"/>
                <w:szCs w:val="22"/>
                <w:highlight w:val="none"/>
                <w:lang w:eastAsia="zh-CN"/>
              </w:rPr>
            </w:pPr>
            <w:r>
              <w:rPr>
                <w:b w:val="0"/>
                <w:bCs/>
                <w:color w:val="auto"/>
                <w:sz w:val="22"/>
                <w:szCs w:val="22"/>
                <w:highlight w:val="none"/>
              </w:rPr>
              <w:t>1</w:t>
            </w:r>
            <w:r>
              <w:rPr>
                <w:b w:val="0"/>
                <w:bCs/>
                <w:color w:val="auto"/>
                <w:sz w:val="22"/>
                <w:szCs w:val="22"/>
                <w:highlight w:val="none"/>
                <w:lang w:eastAsia="zh-CN"/>
              </w:rPr>
              <w:t>#</w:t>
            </w:r>
          </w:p>
        </w:tc>
        <w:tc>
          <w:tcPr>
            <w:tcW w:w="2163" w:type="dxa"/>
            <w:vAlign w:val="center"/>
          </w:tcPr>
          <w:p w14:paraId="7F034A8D">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110</w:t>
            </w:r>
            <w:r>
              <w:rPr>
                <w:rFonts w:hint="eastAsia"/>
                <w:b w:val="0"/>
                <w:bCs/>
                <w:color w:val="auto"/>
                <w:sz w:val="22"/>
                <w:szCs w:val="22"/>
                <w:highlight w:val="none"/>
                <w:lang w:eastAsia="zh-CN"/>
              </w:rPr>
              <w:t>等效圆</w:t>
            </w:r>
            <w:r>
              <w:rPr>
                <w:b w:val="0"/>
                <w:bCs/>
                <w:color w:val="auto"/>
                <w:sz w:val="22"/>
                <w:szCs w:val="22"/>
                <w:highlight w:val="none"/>
              </w:rPr>
              <w:t>×400</w:t>
            </w:r>
          </w:p>
        </w:tc>
        <w:tc>
          <w:tcPr>
            <w:tcW w:w="995" w:type="dxa"/>
            <w:vAlign w:val="center"/>
          </w:tcPr>
          <w:p w14:paraId="7F034A8E">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rPr>
              <w:t>图</w:t>
            </w:r>
            <w:r>
              <w:rPr>
                <w:b w:val="0"/>
                <w:bCs/>
                <w:color w:val="auto"/>
                <w:sz w:val="22"/>
                <w:szCs w:val="22"/>
                <w:highlight w:val="none"/>
                <w:lang w:eastAsia="zh-CN"/>
              </w:rPr>
              <w:t>1</w:t>
            </w:r>
          </w:p>
        </w:tc>
        <w:tc>
          <w:tcPr>
            <w:tcW w:w="995" w:type="dxa"/>
            <w:tcBorders>
              <w:right w:val="single" w:color="auto" w:sz="4" w:space="0"/>
            </w:tcBorders>
            <w:vAlign w:val="center"/>
          </w:tcPr>
          <w:p w14:paraId="7F034A8F">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～11</w:t>
            </w:r>
          </w:p>
        </w:tc>
        <w:tc>
          <w:tcPr>
            <w:tcW w:w="1033" w:type="dxa"/>
            <w:tcBorders>
              <w:left w:val="single" w:color="auto" w:sz="4" w:space="0"/>
              <w:right w:val="single" w:color="auto" w:sz="4" w:space="0"/>
            </w:tcBorders>
            <w:vAlign w:val="center"/>
          </w:tcPr>
          <w:p w14:paraId="7F034A90">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4.5</w:t>
            </w:r>
          </w:p>
        </w:tc>
        <w:tc>
          <w:tcPr>
            <w:tcW w:w="1034" w:type="dxa"/>
            <w:tcBorders>
              <w:left w:val="single" w:color="auto" w:sz="4" w:space="0"/>
            </w:tcBorders>
            <w:vAlign w:val="center"/>
          </w:tcPr>
          <w:p w14:paraId="7F034A91">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3.4</w:t>
            </w:r>
          </w:p>
        </w:tc>
        <w:tc>
          <w:tcPr>
            <w:tcW w:w="1250" w:type="dxa"/>
            <w:vMerge w:val="restart"/>
            <w:tcBorders>
              <w:right w:val="single" w:color="auto" w:sz="4" w:space="0"/>
            </w:tcBorders>
            <w:vAlign w:val="center"/>
          </w:tcPr>
          <w:p w14:paraId="7F034A92">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共用1套</w:t>
            </w:r>
          </w:p>
          <w:p w14:paraId="7F034A93">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上下冲头</w:t>
            </w:r>
          </w:p>
        </w:tc>
        <w:tc>
          <w:tcPr>
            <w:tcW w:w="1298" w:type="dxa"/>
            <w:vMerge w:val="restart"/>
            <w:tcBorders>
              <w:left w:val="single" w:color="auto" w:sz="4" w:space="0"/>
            </w:tcBorders>
            <w:vAlign w:val="center"/>
          </w:tcPr>
          <w:p w14:paraId="7F034A94">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共用1套</w:t>
            </w:r>
          </w:p>
          <w:p w14:paraId="7F034A95">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模套</w:t>
            </w:r>
          </w:p>
        </w:tc>
      </w:tr>
      <w:tr w14:paraId="7F034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Align w:val="center"/>
          </w:tcPr>
          <w:p w14:paraId="7F034A97">
            <w:pPr>
              <w:pStyle w:val="335"/>
              <w:spacing w:line="0" w:lineRule="atLeast"/>
              <w:jc w:val="center"/>
              <w:rPr>
                <w:b w:val="0"/>
                <w:bCs/>
                <w:color w:val="auto"/>
                <w:sz w:val="22"/>
                <w:szCs w:val="22"/>
                <w:highlight w:val="none"/>
              </w:rPr>
            </w:pPr>
            <w:r>
              <w:rPr>
                <w:b w:val="0"/>
                <w:bCs/>
                <w:color w:val="auto"/>
                <w:sz w:val="22"/>
                <w:szCs w:val="22"/>
                <w:highlight w:val="none"/>
              </w:rPr>
              <w:t>2</w:t>
            </w:r>
            <w:r>
              <w:rPr>
                <w:b w:val="0"/>
                <w:bCs/>
                <w:color w:val="auto"/>
                <w:sz w:val="22"/>
                <w:szCs w:val="22"/>
                <w:highlight w:val="none"/>
                <w:lang w:eastAsia="zh-CN"/>
              </w:rPr>
              <w:t>#</w:t>
            </w:r>
          </w:p>
        </w:tc>
        <w:tc>
          <w:tcPr>
            <w:tcW w:w="2163" w:type="dxa"/>
            <w:vAlign w:val="center"/>
          </w:tcPr>
          <w:p w14:paraId="7F034A98">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1</w:t>
            </w:r>
            <w:r>
              <w:rPr>
                <w:b w:val="0"/>
                <w:bCs/>
                <w:color w:val="auto"/>
                <w:sz w:val="22"/>
                <w:szCs w:val="22"/>
                <w:highlight w:val="none"/>
              </w:rPr>
              <w:t>60</w:t>
            </w:r>
            <w:r>
              <w:rPr>
                <w:rFonts w:hint="eastAsia"/>
                <w:b w:val="0"/>
                <w:bCs/>
                <w:color w:val="auto"/>
                <w:sz w:val="22"/>
                <w:szCs w:val="22"/>
                <w:highlight w:val="none"/>
                <w:lang w:eastAsia="zh-CN"/>
              </w:rPr>
              <w:t>等效圆</w:t>
            </w:r>
            <w:r>
              <w:rPr>
                <w:b w:val="0"/>
                <w:bCs/>
                <w:color w:val="auto"/>
                <w:sz w:val="22"/>
                <w:szCs w:val="22"/>
                <w:highlight w:val="none"/>
              </w:rPr>
              <w:t>×400</w:t>
            </w:r>
          </w:p>
        </w:tc>
        <w:tc>
          <w:tcPr>
            <w:tcW w:w="995" w:type="dxa"/>
            <w:vAlign w:val="center"/>
          </w:tcPr>
          <w:p w14:paraId="7F034A99">
            <w:pPr>
              <w:pStyle w:val="335"/>
              <w:spacing w:line="0" w:lineRule="atLeast"/>
              <w:jc w:val="center"/>
              <w:rPr>
                <w:b w:val="0"/>
                <w:bCs/>
                <w:color w:val="auto"/>
                <w:sz w:val="22"/>
                <w:szCs w:val="22"/>
                <w:highlight w:val="none"/>
              </w:rPr>
            </w:pPr>
            <w:r>
              <w:rPr>
                <w:rFonts w:hint="eastAsia"/>
                <w:b w:val="0"/>
                <w:bCs/>
                <w:color w:val="auto"/>
                <w:sz w:val="22"/>
                <w:szCs w:val="22"/>
                <w:highlight w:val="none"/>
              </w:rPr>
              <w:t>图2</w:t>
            </w:r>
          </w:p>
        </w:tc>
        <w:tc>
          <w:tcPr>
            <w:tcW w:w="995" w:type="dxa"/>
            <w:tcBorders>
              <w:right w:val="single" w:color="auto" w:sz="4" w:space="0"/>
            </w:tcBorders>
            <w:vAlign w:val="center"/>
          </w:tcPr>
          <w:p w14:paraId="7F034A9A">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～18</w:t>
            </w:r>
          </w:p>
        </w:tc>
        <w:tc>
          <w:tcPr>
            <w:tcW w:w="1033" w:type="dxa"/>
            <w:tcBorders>
              <w:left w:val="single" w:color="auto" w:sz="4" w:space="0"/>
              <w:right w:val="single" w:color="auto" w:sz="4" w:space="0"/>
            </w:tcBorders>
            <w:vAlign w:val="center"/>
          </w:tcPr>
          <w:p w14:paraId="7F034A9B">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4.5</w:t>
            </w:r>
          </w:p>
        </w:tc>
        <w:tc>
          <w:tcPr>
            <w:tcW w:w="1034" w:type="dxa"/>
            <w:tcBorders>
              <w:left w:val="single" w:color="auto" w:sz="4" w:space="0"/>
            </w:tcBorders>
            <w:vAlign w:val="center"/>
          </w:tcPr>
          <w:p w14:paraId="7F034A9C">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3.4</w:t>
            </w:r>
          </w:p>
        </w:tc>
        <w:tc>
          <w:tcPr>
            <w:tcW w:w="1250" w:type="dxa"/>
            <w:vMerge w:val="continue"/>
            <w:tcBorders>
              <w:bottom w:val="single" w:color="auto" w:sz="4" w:space="0"/>
              <w:right w:val="single" w:color="auto" w:sz="4" w:space="0"/>
            </w:tcBorders>
            <w:vAlign w:val="center"/>
          </w:tcPr>
          <w:p w14:paraId="7F034A9D">
            <w:pPr>
              <w:spacing w:line="0" w:lineRule="atLeast"/>
              <w:jc w:val="center"/>
              <w:rPr>
                <w:rFonts w:ascii="宋体" w:hAnsi="宋体" w:cs="宋体"/>
                <w:b w:val="0"/>
                <w:bCs/>
                <w:color w:val="auto"/>
                <w:sz w:val="22"/>
                <w:highlight w:val="none"/>
              </w:rPr>
            </w:pPr>
          </w:p>
        </w:tc>
        <w:tc>
          <w:tcPr>
            <w:tcW w:w="1298" w:type="dxa"/>
            <w:vMerge w:val="continue"/>
            <w:tcBorders>
              <w:left w:val="single" w:color="auto" w:sz="4" w:space="0"/>
              <w:bottom w:val="single" w:color="auto" w:sz="4" w:space="0"/>
            </w:tcBorders>
            <w:vAlign w:val="center"/>
          </w:tcPr>
          <w:p w14:paraId="7F034A9E">
            <w:pPr>
              <w:spacing w:line="0" w:lineRule="atLeast"/>
              <w:jc w:val="center"/>
              <w:rPr>
                <w:rFonts w:ascii="宋体" w:hAnsi="宋体" w:cs="宋体"/>
                <w:b w:val="0"/>
                <w:bCs/>
                <w:color w:val="auto"/>
                <w:sz w:val="22"/>
                <w:highlight w:val="none"/>
              </w:rPr>
            </w:pPr>
          </w:p>
        </w:tc>
      </w:tr>
      <w:tr w14:paraId="7F034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Align w:val="center"/>
          </w:tcPr>
          <w:p w14:paraId="7F034AA0">
            <w:pPr>
              <w:pStyle w:val="335"/>
              <w:spacing w:line="0" w:lineRule="atLeast"/>
              <w:jc w:val="center"/>
              <w:rPr>
                <w:b w:val="0"/>
                <w:bCs/>
                <w:color w:val="auto"/>
                <w:sz w:val="22"/>
                <w:szCs w:val="22"/>
                <w:highlight w:val="none"/>
              </w:rPr>
            </w:pPr>
            <w:r>
              <w:rPr>
                <w:b w:val="0"/>
                <w:bCs/>
                <w:color w:val="auto"/>
                <w:sz w:val="22"/>
                <w:szCs w:val="22"/>
                <w:highlight w:val="none"/>
              </w:rPr>
              <w:t>3</w:t>
            </w:r>
            <w:r>
              <w:rPr>
                <w:b w:val="0"/>
                <w:bCs/>
                <w:color w:val="auto"/>
                <w:sz w:val="22"/>
                <w:szCs w:val="22"/>
                <w:highlight w:val="none"/>
                <w:lang w:eastAsia="zh-CN"/>
              </w:rPr>
              <w:t>#</w:t>
            </w:r>
          </w:p>
        </w:tc>
        <w:tc>
          <w:tcPr>
            <w:tcW w:w="2163" w:type="dxa"/>
            <w:vAlign w:val="center"/>
          </w:tcPr>
          <w:p w14:paraId="7F034AA1">
            <w:pPr>
              <w:pStyle w:val="335"/>
              <w:spacing w:line="0" w:lineRule="atLeast"/>
              <w:jc w:val="center"/>
              <w:rPr>
                <w:b w:val="0"/>
                <w:bCs/>
                <w:color w:val="auto"/>
                <w:sz w:val="22"/>
                <w:szCs w:val="22"/>
                <w:highlight w:val="none"/>
                <w:lang w:eastAsia="zh-CN"/>
              </w:rPr>
            </w:pPr>
            <w:r>
              <w:rPr>
                <w:b w:val="0"/>
                <w:bCs/>
                <w:color w:val="auto"/>
                <w:sz w:val="22"/>
                <w:szCs w:val="22"/>
                <w:highlight w:val="none"/>
              </w:rPr>
              <w:t>Φ</w:t>
            </w:r>
            <w:r>
              <w:rPr>
                <w:b w:val="0"/>
                <w:bCs/>
                <w:color w:val="auto"/>
                <w:sz w:val="22"/>
                <w:szCs w:val="22"/>
                <w:highlight w:val="none"/>
                <w:lang w:eastAsia="zh-CN"/>
              </w:rPr>
              <w:t>220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995" w:type="dxa"/>
            <w:vAlign w:val="center"/>
          </w:tcPr>
          <w:p w14:paraId="7F034AA2">
            <w:pPr>
              <w:pStyle w:val="335"/>
              <w:spacing w:line="0" w:lineRule="atLeast"/>
              <w:jc w:val="center"/>
              <w:rPr>
                <w:b w:val="0"/>
                <w:bCs/>
                <w:color w:val="auto"/>
                <w:sz w:val="22"/>
                <w:szCs w:val="22"/>
                <w:highlight w:val="none"/>
              </w:rPr>
            </w:pPr>
            <w:r>
              <w:rPr>
                <w:rFonts w:hint="eastAsia"/>
                <w:b w:val="0"/>
                <w:bCs/>
                <w:color w:val="auto"/>
                <w:sz w:val="22"/>
                <w:szCs w:val="22"/>
                <w:highlight w:val="none"/>
              </w:rPr>
              <w:t>图3</w:t>
            </w:r>
          </w:p>
        </w:tc>
        <w:tc>
          <w:tcPr>
            <w:tcW w:w="995" w:type="dxa"/>
            <w:tcBorders>
              <w:right w:val="single" w:color="auto" w:sz="4" w:space="0"/>
            </w:tcBorders>
            <w:vAlign w:val="center"/>
          </w:tcPr>
          <w:p w14:paraId="7F034AA3">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w:t>
            </w:r>
            <w:r>
              <w:rPr>
                <w:b w:val="0"/>
                <w:bCs/>
                <w:color w:val="auto"/>
                <w:sz w:val="22"/>
                <w:szCs w:val="22"/>
                <w:highlight w:val="none"/>
                <w:lang w:eastAsia="zh-CN"/>
              </w:rPr>
              <w:t>40</w:t>
            </w:r>
          </w:p>
        </w:tc>
        <w:tc>
          <w:tcPr>
            <w:tcW w:w="1033" w:type="dxa"/>
            <w:tcBorders>
              <w:left w:val="single" w:color="auto" w:sz="4" w:space="0"/>
              <w:right w:val="single" w:color="auto" w:sz="4" w:space="0"/>
            </w:tcBorders>
            <w:vAlign w:val="center"/>
          </w:tcPr>
          <w:p w14:paraId="7F034AA4">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4.5</w:t>
            </w:r>
          </w:p>
        </w:tc>
        <w:tc>
          <w:tcPr>
            <w:tcW w:w="1034" w:type="dxa"/>
            <w:tcBorders>
              <w:left w:val="single" w:color="auto" w:sz="4" w:space="0"/>
            </w:tcBorders>
            <w:vAlign w:val="center"/>
          </w:tcPr>
          <w:p w14:paraId="7F034AA5">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3.4</w:t>
            </w:r>
          </w:p>
        </w:tc>
        <w:tc>
          <w:tcPr>
            <w:tcW w:w="1250" w:type="dxa"/>
            <w:tcBorders>
              <w:top w:val="single" w:color="auto" w:sz="4" w:space="0"/>
              <w:right w:val="single" w:color="auto" w:sz="4" w:space="0"/>
            </w:tcBorders>
            <w:vAlign w:val="center"/>
          </w:tcPr>
          <w:p w14:paraId="7F034AA6">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1套</w:t>
            </w:r>
          </w:p>
          <w:p w14:paraId="7F034AA7">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上下冲头</w:t>
            </w:r>
          </w:p>
        </w:tc>
        <w:tc>
          <w:tcPr>
            <w:tcW w:w="1298" w:type="dxa"/>
            <w:tcBorders>
              <w:top w:val="single" w:color="auto" w:sz="4" w:space="0"/>
              <w:left w:val="single" w:color="auto" w:sz="4" w:space="0"/>
            </w:tcBorders>
            <w:vAlign w:val="center"/>
          </w:tcPr>
          <w:p w14:paraId="7F034AA8">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1套</w:t>
            </w:r>
          </w:p>
          <w:p w14:paraId="7F034AA9">
            <w:pPr>
              <w:spacing w:line="0" w:lineRule="atLeast"/>
              <w:jc w:val="center"/>
              <w:rPr>
                <w:rFonts w:ascii="宋体" w:hAnsi="宋体" w:cs="宋体"/>
                <w:b w:val="0"/>
                <w:bCs/>
                <w:color w:val="auto"/>
                <w:sz w:val="22"/>
                <w:highlight w:val="none"/>
              </w:rPr>
            </w:pPr>
            <w:r>
              <w:rPr>
                <w:rFonts w:hint="eastAsia" w:ascii="宋体" w:hAnsi="宋体" w:cs="宋体"/>
                <w:b w:val="0"/>
                <w:bCs/>
                <w:color w:val="auto"/>
                <w:sz w:val="22"/>
                <w:highlight w:val="none"/>
              </w:rPr>
              <w:t>模套</w:t>
            </w:r>
          </w:p>
        </w:tc>
      </w:tr>
      <w:tr w14:paraId="7F03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Merge w:val="restart"/>
            <w:vAlign w:val="center"/>
          </w:tcPr>
          <w:p w14:paraId="7F034AAB">
            <w:pPr>
              <w:pStyle w:val="335"/>
              <w:spacing w:line="0" w:lineRule="atLeast"/>
              <w:jc w:val="center"/>
              <w:rPr>
                <w:b w:val="0"/>
                <w:bCs/>
                <w:color w:val="auto"/>
                <w:sz w:val="22"/>
                <w:szCs w:val="22"/>
                <w:highlight w:val="none"/>
              </w:rPr>
            </w:pPr>
            <w:r>
              <w:rPr>
                <w:b w:val="0"/>
                <w:bCs/>
                <w:color w:val="auto"/>
                <w:sz w:val="22"/>
                <w:szCs w:val="22"/>
                <w:highlight w:val="none"/>
              </w:rPr>
              <w:t>4</w:t>
            </w:r>
            <w:r>
              <w:rPr>
                <w:b w:val="0"/>
                <w:bCs/>
                <w:color w:val="auto"/>
                <w:sz w:val="22"/>
                <w:szCs w:val="22"/>
                <w:highlight w:val="none"/>
                <w:lang w:eastAsia="zh-CN"/>
              </w:rPr>
              <w:t>#</w:t>
            </w:r>
          </w:p>
        </w:tc>
        <w:tc>
          <w:tcPr>
            <w:tcW w:w="2163" w:type="dxa"/>
            <w:vMerge w:val="restart"/>
            <w:vAlign w:val="center"/>
          </w:tcPr>
          <w:p w14:paraId="7F034AAC">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300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995" w:type="dxa"/>
            <w:vMerge w:val="restart"/>
            <w:vAlign w:val="center"/>
          </w:tcPr>
          <w:p w14:paraId="7F034AAD">
            <w:pPr>
              <w:pStyle w:val="335"/>
              <w:spacing w:line="0" w:lineRule="atLeast"/>
              <w:jc w:val="center"/>
              <w:rPr>
                <w:b w:val="0"/>
                <w:bCs/>
                <w:color w:val="auto"/>
                <w:sz w:val="22"/>
                <w:szCs w:val="22"/>
                <w:highlight w:val="none"/>
              </w:rPr>
            </w:pPr>
            <w:r>
              <w:rPr>
                <w:rFonts w:hint="eastAsia"/>
                <w:b w:val="0"/>
                <w:bCs/>
                <w:color w:val="auto"/>
                <w:sz w:val="22"/>
                <w:szCs w:val="22"/>
                <w:highlight w:val="none"/>
              </w:rPr>
              <w:t>图4</w:t>
            </w:r>
          </w:p>
        </w:tc>
        <w:tc>
          <w:tcPr>
            <w:tcW w:w="995" w:type="dxa"/>
            <w:tcBorders>
              <w:right w:val="single" w:color="auto" w:sz="4" w:space="0"/>
            </w:tcBorders>
            <w:vAlign w:val="center"/>
          </w:tcPr>
          <w:p w14:paraId="7F034AAE">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～10</w:t>
            </w:r>
            <w:r>
              <w:rPr>
                <w:b w:val="0"/>
                <w:bCs/>
                <w:color w:val="auto"/>
                <w:sz w:val="22"/>
                <w:szCs w:val="22"/>
                <w:highlight w:val="none"/>
                <w:lang w:eastAsia="zh-CN"/>
              </w:rPr>
              <w:t>0</w:t>
            </w:r>
          </w:p>
        </w:tc>
        <w:tc>
          <w:tcPr>
            <w:tcW w:w="1033" w:type="dxa"/>
            <w:tcBorders>
              <w:left w:val="single" w:color="auto" w:sz="4" w:space="0"/>
              <w:right w:val="single" w:color="auto" w:sz="4" w:space="0"/>
            </w:tcBorders>
            <w:vAlign w:val="center"/>
          </w:tcPr>
          <w:p w14:paraId="7F034AAF">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5.3</w:t>
            </w:r>
          </w:p>
        </w:tc>
        <w:tc>
          <w:tcPr>
            <w:tcW w:w="1034" w:type="dxa"/>
            <w:tcBorders>
              <w:left w:val="single" w:color="auto" w:sz="4" w:space="0"/>
            </w:tcBorders>
            <w:vAlign w:val="center"/>
          </w:tcPr>
          <w:p w14:paraId="7F034AB0">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4.0</w:t>
            </w:r>
          </w:p>
        </w:tc>
        <w:tc>
          <w:tcPr>
            <w:tcW w:w="2548" w:type="dxa"/>
            <w:gridSpan w:val="2"/>
            <w:vMerge w:val="restart"/>
            <w:vAlign w:val="center"/>
          </w:tcPr>
          <w:p w14:paraId="7F034AB1">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共用1套模具</w:t>
            </w:r>
          </w:p>
        </w:tc>
      </w:tr>
      <w:tr w14:paraId="7F034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Merge w:val="continue"/>
            <w:vAlign w:val="center"/>
          </w:tcPr>
          <w:p w14:paraId="7F034AB3">
            <w:pPr>
              <w:pStyle w:val="335"/>
              <w:spacing w:line="0" w:lineRule="atLeast"/>
              <w:jc w:val="center"/>
              <w:rPr>
                <w:b w:val="0"/>
                <w:bCs/>
                <w:color w:val="auto"/>
                <w:sz w:val="22"/>
                <w:szCs w:val="22"/>
                <w:highlight w:val="none"/>
              </w:rPr>
            </w:pPr>
          </w:p>
        </w:tc>
        <w:tc>
          <w:tcPr>
            <w:tcW w:w="2163" w:type="dxa"/>
            <w:vMerge w:val="continue"/>
            <w:vAlign w:val="center"/>
          </w:tcPr>
          <w:p w14:paraId="7F034AB4">
            <w:pPr>
              <w:pStyle w:val="335"/>
              <w:spacing w:line="0" w:lineRule="atLeast"/>
              <w:jc w:val="center"/>
              <w:rPr>
                <w:b w:val="0"/>
                <w:bCs/>
                <w:color w:val="auto"/>
                <w:sz w:val="22"/>
                <w:szCs w:val="22"/>
                <w:highlight w:val="none"/>
              </w:rPr>
            </w:pPr>
          </w:p>
        </w:tc>
        <w:tc>
          <w:tcPr>
            <w:tcW w:w="995" w:type="dxa"/>
            <w:vMerge w:val="continue"/>
            <w:vAlign w:val="center"/>
          </w:tcPr>
          <w:p w14:paraId="7F034AB5">
            <w:pPr>
              <w:pStyle w:val="335"/>
              <w:spacing w:line="0" w:lineRule="atLeast"/>
              <w:jc w:val="center"/>
              <w:rPr>
                <w:b w:val="0"/>
                <w:bCs/>
                <w:color w:val="auto"/>
                <w:sz w:val="22"/>
                <w:szCs w:val="22"/>
                <w:highlight w:val="none"/>
              </w:rPr>
            </w:pPr>
          </w:p>
        </w:tc>
        <w:tc>
          <w:tcPr>
            <w:tcW w:w="995" w:type="dxa"/>
            <w:tcBorders>
              <w:right w:val="single" w:color="auto" w:sz="4" w:space="0"/>
            </w:tcBorders>
            <w:vAlign w:val="center"/>
          </w:tcPr>
          <w:p w14:paraId="7F034AB6">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w:t>
            </w:r>
            <w:r>
              <w:rPr>
                <w:b w:val="0"/>
                <w:bCs/>
                <w:color w:val="auto"/>
                <w:sz w:val="22"/>
                <w:szCs w:val="22"/>
                <w:highlight w:val="none"/>
                <w:lang w:eastAsia="zh-CN"/>
              </w:rPr>
              <w:t>88</w:t>
            </w:r>
          </w:p>
        </w:tc>
        <w:tc>
          <w:tcPr>
            <w:tcW w:w="1033" w:type="dxa"/>
            <w:tcBorders>
              <w:left w:val="single" w:color="auto" w:sz="4" w:space="0"/>
              <w:right w:val="single" w:color="auto" w:sz="4" w:space="0"/>
            </w:tcBorders>
            <w:vAlign w:val="center"/>
          </w:tcPr>
          <w:p w14:paraId="7F034AB7">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4.5</w:t>
            </w:r>
          </w:p>
        </w:tc>
        <w:tc>
          <w:tcPr>
            <w:tcW w:w="1034" w:type="dxa"/>
            <w:tcBorders>
              <w:left w:val="single" w:color="auto" w:sz="4" w:space="0"/>
            </w:tcBorders>
            <w:vAlign w:val="center"/>
          </w:tcPr>
          <w:p w14:paraId="7F034AB8">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3.4</w:t>
            </w:r>
          </w:p>
        </w:tc>
        <w:tc>
          <w:tcPr>
            <w:tcW w:w="2548" w:type="dxa"/>
            <w:gridSpan w:val="2"/>
            <w:vMerge w:val="continue"/>
            <w:vAlign w:val="center"/>
          </w:tcPr>
          <w:p w14:paraId="7F034AB9">
            <w:pPr>
              <w:pStyle w:val="335"/>
              <w:spacing w:line="0" w:lineRule="atLeast"/>
              <w:jc w:val="center"/>
              <w:rPr>
                <w:b w:val="0"/>
                <w:bCs/>
                <w:color w:val="auto"/>
                <w:sz w:val="22"/>
                <w:szCs w:val="22"/>
                <w:highlight w:val="none"/>
                <w:lang w:eastAsia="zh-CN"/>
              </w:rPr>
            </w:pPr>
          </w:p>
        </w:tc>
      </w:tr>
      <w:tr w14:paraId="7F034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45" w:type="dxa"/>
            <w:vAlign w:val="center"/>
          </w:tcPr>
          <w:p w14:paraId="7F034ABB">
            <w:pPr>
              <w:pStyle w:val="335"/>
              <w:spacing w:line="0" w:lineRule="atLeast"/>
              <w:jc w:val="center"/>
              <w:rPr>
                <w:b w:val="0"/>
                <w:bCs/>
                <w:color w:val="auto"/>
                <w:sz w:val="22"/>
                <w:szCs w:val="22"/>
                <w:highlight w:val="none"/>
              </w:rPr>
            </w:pPr>
            <w:r>
              <w:rPr>
                <w:b w:val="0"/>
                <w:bCs/>
                <w:color w:val="auto"/>
                <w:sz w:val="22"/>
                <w:szCs w:val="22"/>
                <w:highlight w:val="none"/>
              </w:rPr>
              <w:t>5</w:t>
            </w:r>
            <w:r>
              <w:rPr>
                <w:b w:val="0"/>
                <w:bCs/>
                <w:color w:val="auto"/>
                <w:sz w:val="22"/>
                <w:szCs w:val="22"/>
                <w:highlight w:val="none"/>
                <w:lang w:eastAsia="zh-CN"/>
              </w:rPr>
              <w:t>#</w:t>
            </w:r>
          </w:p>
        </w:tc>
        <w:tc>
          <w:tcPr>
            <w:tcW w:w="2163" w:type="dxa"/>
            <w:vAlign w:val="center"/>
          </w:tcPr>
          <w:p w14:paraId="7F034ABC">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340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995" w:type="dxa"/>
            <w:vAlign w:val="center"/>
          </w:tcPr>
          <w:p w14:paraId="7F034ABD">
            <w:pPr>
              <w:pStyle w:val="335"/>
              <w:spacing w:line="0" w:lineRule="atLeast"/>
              <w:jc w:val="center"/>
              <w:rPr>
                <w:b w:val="0"/>
                <w:bCs/>
                <w:color w:val="auto"/>
                <w:sz w:val="22"/>
                <w:szCs w:val="22"/>
                <w:highlight w:val="none"/>
              </w:rPr>
            </w:pPr>
            <w:r>
              <w:rPr>
                <w:rFonts w:hint="eastAsia"/>
                <w:b w:val="0"/>
                <w:bCs/>
                <w:color w:val="auto"/>
                <w:sz w:val="22"/>
                <w:szCs w:val="22"/>
                <w:highlight w:val="none"/>
              </w:rPr>
              <w:t>图5</w:t>
            </w:r>
          </w:p>
        </w:tc>
        <w:tc>
          <w:tcPr>
            <w:tcW w:w="995" w:type="dxa"/>
            <w:tcBorders>
              <w:right w:val="single" w:color="auto" w:sz="4" w:space="0"/>
            </w:tcBorders>
            <w:vAlign w:val="center"/>
          </w:tcPr>
          <w:p w14:paraId="7F034ABE">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～10</w:t>
            </w:r>
            <w:r>
              <w:rPr>
                <w:b w:val="0"/>
                <w:bCs/>
                <w:color w:val="auto"/>
                <w:sz w:val="22"/>
                <w:szCs w:val="22"/>
                <w:highlight w:val="none"/>
                <w:lang w:eastAsia="zh-CN"/>
              </w:rPr>
              <w:t>0</w:t>
            </w:r>
          </w:p>
        </w:tc>
        <w:tc>
          <w:tcPr>
            <w:tcW w:w="1033" w:type="dxa"/>
            <w:tcBorders>
              <w:left w:val="single" w:color="auto" w:sz="4" w:space="0"/>
              <w:right w:val="single" w:color="auto" w:sz="4" w:space="0"/>
            </w:tcBorders>
            <w:vAlign w:val="center"/>
          </w:tcPr>
          <w:p w14:paraId="7F034ABF">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4.5</w:t>
            </w:r>
          </w:p>
        </w:tc>
        <w:tc>
          <w:tcPr>
            <w:tcW w:w="1034" w:type="dxa"/>
            <w:tcBorders>
              <w:left w:val="single" w:color="auto" w:sz="4" w:space="0"/>
            </w:tcBorders>
            <w:vAlign w:val="center"/>
          </w:tcPr>
          <w:p w14:paraId="7F034AC0">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3.4</w:t>
            </w:r>
          </w:p>
        </w:tc>
        <w:tc>
          <w:tcPr>
            <w:tcW w:w="2548" w:type="dxa"/>
            <w:gridSpan w:val="2"/>
            <w:vMerge w:val="continue"/>
            <w:vAlign w:val="center"/>
          </w:tcPr>
          <w:p w14:paraId="7F034AC1">
            <w:pPr>
              <w:pStyle w:val="335"/>
              <w:spacing w:line="0" w:lineRule="atLeast"/>
              <w:jc w:val="center"/>
              <w:rPr>
                <w:b w:val="0"/>
                <w:bCs/>
                <w:color w:val="auto"/>
                <w:sz w:val="22"/>
                <w:szCs w:val="22"/>
                <w:highlight w:val="none"/>
              </w:rPr>
            </w:pPr>
          </w:p>
        </w:tc>
      </w:tr>
      <w:tr w14:paraId="7F034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6" w:hRule="atLeast"/>
          <w:jc w:val="center"/>
        </w:trPr>
        <w:tc>
          <w:tcPr>
            <w:tcW w:w="2708" w:type="dxa"/>
            <w:gridSpan w:val="2"/>
            <w:vAlign w:val="center"/>
          </w:tcPr>
          <w:p w14:paraId="7F034AC3">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备注</w:t>
            </w:r>
          </w:p>
        </w:tc>
        <w:tc>
          <w:tcPr>
            <w:tcW w:w="6605" w:type="dxa"/>
            <w:gridSpan w:val="6"/>
            <w:vAlign w:val="center"/>
          </w:tcPr>
          <w:p w14:paraId="7F034AC4">
            <w:pPr>
              <w:pStyle w:val="335"/>
              <w:numPr>
                <w:ilvl w:val="0"/>
                <w:numId w:val="17"/>
              </w:numPr>
              <w:spacing w:line="0" w:lineRule="atLeast"/>
              <w:rPr>
                <w:b w:val="0"/>
                <w:bCs/>
                <w:color w:val="auto"/>
                <w:sz w:val="22"/>
                <w:szCs w:val="22"/>
                <w:highlight w:val="none"/>
                <w:lang w:eastAsia="zh-CN"/>
              </w:rPr>
            </w:pPr>
            <w:r>
              <w:rPr>
                <w:rFonts w:hint="eastAsia"/>
                <w:b w:val="0"/>
                <w:bCs/>
                <w:color w:val="auto"/>
                <w:sz w:val="22"/>
                <w:szCs w:val="22"/>
                <w:highlight w:val="none"/>
                <w:lang w:eastAsia="zh-CN"/>
              </w:rPr>
              <w:t>电极块复称量程：0～1</w:t>
            </w:r>
            <w:r>
              <w:rPr>
                <w:b w:val="0"/>
                <w:bCs/>
                <w:color w:val="auto"/>
                <w:sz w:val="22"/>
                <w:szCs w:val="22"/>
                <w:highlight w:val="none"/>
                <w:lang w:eastAsia="zh-CN"/>
              </w:rPr>
              <w:t>50kg</w:t>
            </w:r>
            <w:r>
              <w:rPr>
                <w:rFonts w:hint="eastAsia"/>
                <w:b w:val="0"/>
                <w:bCs/>
                <w:color w:val="auto"/>
                <w:sz w:val="22"/>
                <w:szCs w:val="22"/>
                <w:highlight w:val="none"/>
                <w:lang w:eastAsia="zh-CN"/>
              </w:rPr>
              <w:t>（以最终确认的设计为准）</w:t>
            </w:r>
          </w:p>
          <w:p w14:paraId="7F034AC5">
            <w:pPr>
              <w:pStyle w:val="335"/>
              <w:numPr>
                <w:ilvl w:val="0"/>
                <w:numId w:val="17"/>
              </w:numPr>
              <w:spacing w:line="0" w:lineRule="atLeast"/>
              <w:rPr>
                <w:b w:val="0"/>
                <w:bCs/>
                <w:color w:val="auto"/>
                <w:sz w:val="22"/>
                <w:szCs w:val="22"/>
                <w:highlight w:val="none"/>
                <w:lang w:eastAsia="zh-CN"/>
              </w:rPr>
            </w:pPr>
            <w:r>
              <w:rPr>
                <w:rFonts w:hint="eastAsia"/>
                <w:b w:val="0"/>
                <w:bCs/>
                <w:color w:val="auto"/>
                <w:sz w:val="22"/>
                <w:szCs w:val="22"/>
                <w:highlight w:val="none"/>
                <w:lang w:eastAsia="zh-CN"/>
              </w:rPr>
              <w:t>电极块复称显示分度值：0.01kg（以最终确认的设计为准）</w:t>
            </w:r>
          </w:p>
          <w:p w14:paraId="7F034AC6">
            <w:pPr>
              <w:pStyle w:val="335"/>
              <w:numPr>
                <w:ilvl w:val="0"/>
                <w:numId w:val="17"/>
              </w:numPr>
              <w:spacing w:line="0" w:lineRule="atLeast"/>
              <w:rPr>
                <w:b w:val="0"/>
                <w:bCs/>
                <w:color w:val="auto"/>
                <w:sz w:val="22"/>
                <w:szCs w:val="22"/>
                <w:highlight w:val="none"/>
                <w:lang w:eastAsia="zh-CN"/>
              </w:rPr>
            </w:pPr>
            <w:r>
              <w:rPr>
                <w:rFonts w:hint="eastAsia"/>
                <w:b w:val="0"/>
                <w:bCs/>
                <w:color w:val="auto"/>
                <w:sz w:val="22"/>
                <w:szCs w:val="22"/>
                <w:highlight w:val="none"/>
                <w:lang w:eastAsia="zh-CN"/>
              </w:rPr>
              <w:t>1#、2#、3#电极块复称允许偏差：不超过±8</w:t>
            </w:r>
            <w:r>
              <w:rPr>
                <w:b w:val="0"/>
                <w:bCs/>
                <w:color w:val="auto"/>
                <w:sz w:val="22"/>
                <w:szCs w:val="22"/>
                <w:highlight w:val="none"/>
                <w:lang w:eastAsia="zh-CN"/>
              </w:rPr>
              <w:t>0g</w:t>
            </w:r>
            <w:r>
              <w:rPr>
                <w:rFonts w:hint="eastAsia"/>
                <w:b w:val="0"/>
                <w:bCs/>
                <w:color w:val="auto"/>
                <w:sz w:val="22"/>
                <w:szCs w:val="22"/>
                <w:highlight w:val="none"/>
                <w:lang w:eastAsia="zh-CN"/>
              </w:rPr>
              <w:t>。</w:t>
            </w:r>
          </w:p>
          <w:p w14:paraId="7F034AC7">
            <w:pPr>
              <w:pStyle w:val="335"/>
              <w:numPr>
                <w:ilvl w:val="0"/>
                <w:numId w:val="17"/>
              </w:numPr>
              <w:spacing w:line="0" w:lineRule="atLeast"/>
              <w:rPr>
                <w:b w:val="0"/>
                <w:bCs/>
                <w:color w:val="auto"/>
                <w:sz w:val="22"/>
                <w:szCs w:val="22"/>
                <w:highlight w:val="none"/>
                <w:lang w:eastAsia="zh-CN"/>
              </w:rPr>
            </w:pPr>
            <w:r>
              <w:rPr>
                <w:rFonts w:hint="eastAsia"/>
                <w:b w:val="0"/>
                <w:bCs/>
                <w:color w:val="auto"/>
                <w:sz w:val="22"/>
                <w:szCs w:val="22"/>
                <w:highlight w:val="none"/>
                <w:lang w:eastAsia="zh-CN"/>
              </w:rPr>
              <w:t>4#、5#电极块复称允许偏差：不超过±0.4%。</w:t>
            </w:r>
          </w:p>
        </w:tc>
      </w:tr>
    </w:tbl>
    <w:p w14:paraId="7F034AC9">
      <w:pPr>
        <w:jc w:val="center"/>
        <w:rPr>
          <w:rFonts w:ascii="宋体" w:hAnsi="宋体" w:cs="宋体"/>
          <w:b w:val="0"/>
          <w:bCs/>
          <w:color w:val="auto"/>
          <w:highlight w:val="none"/>
        </w:rPr>
      </w:pPr>
      <w:r>
        <w:rPr>
          <w:rFonts w:ascii="宋体" w:hAnsi="宋体" w:cs="宋体"/>
          <w:b w:val="0"/>
          <w:bCs/>
          <w:color w:val="auto"/>
          <w:highlight w:val="none"/>
        </w:rPr>
        <w:drawing>
          <wp:inline distT="0" distB="0" distL="114300" distR="114300">
            <wp:extent cx="5753100" cy="1228725"/>
            <wp:effectExtent l="0" t="0" r="7620" b="5715"/>
            <wp:docPr id="8" name="图片 1" descr="合锻电极压制工艺方案260306（A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合锻电极压制工艺方案260306（A1）110"/>
                    <pic:cNvPicPr>
                      <a:picLocks noChangeAspect="1"/>
                    </pic:cNvPicPr>
                  </pic:nvPicPr>
                  <pic:blipFill>
                    <a:blip r:embed="rId18">
                      <a:lum bright="-65997" contrast="66000"/>
                    </a:blip>
                    <a:srcRect b="25230"/>
                    <a:stretch>
                      <a:fillRect/>
                    </a:stretch>
                  </pic:blipFill>
                  <pic:spPr>
                    <a:xfrm>
                      <a:off x="0" y="0"/>
                      <a:ext cx="5753100" cy="1228725"/>
                    </a:xfrm>
                    <a:prstGeom prst="rect">
                      <a:avLst/>
                    </a:prstGeom>
                    <a:noFill/>
                    <a:ln>
                      <a:noFill/>
                    </a:ln>
                  </pic:spPr>
                </pic:pic>
              </a:graphicData>
            </a:graphic>
          </wp:inline>
        </w:drawing>
      </w:r>
    </w:p>
    <w:p w14:paraId="7F034ACA">
      <w:pPr>
        <w:jc w:val="center"/>
        <w:rPr>
          <w:rFonts w:ascii="宋体" w:hAnsi="宋体" w:cs="宋体"/>
          <w:b w:val="0"/>
          <w:bCs/>
          <w:color w:val="auto"/>
          <w:sz w:val="22"/>
          <w:highlight w:val="none"/>
        </w:rPr>
      </w:pPr>
      <w:r>
        <w:rPr>
          <w:rFonts w:hint="eastAsia" w:ascii="宋体" w:hAnsi="宋体" w:cs="宋体"/>
          <w:b w:val="0"/>
          <w:bCs/>
          <w:color w:val="auto"/>
          <w:highlight w:val="none"/>
        </w:rPr>
        <w:t xml:space="preserve">图1 </w:t>
      </w:r>
      <w:r>
        <w:rPr>
          <w:rFonts w:ascii="宋体" w:hAnsi="宋体" w:cs="宋体"/>
          <w:b w:val="0"/>
          <w:bCs/>
          <w:color w:val="auto"/>
          <w:highlight w:val="none"/>
        </w:rPr>
        <w:t xml:space="preserve"> </w:t>
      </w:r>
      <w:r>
        <w:rPr>
          <w:rFonts w:ascii="宋体" w:hAnsi="宋体" w:cs="宋体"/>
          <w:b w:val="0"/>
          <w:bCs/>
          <w:color w:val="auto"/>
          <w:sz w:val="22"/>
          <w:highlight w:val="none"/>
        </w:rPr>
        <w:t>Φ110</w:t>
      </w:r>
      <w:r>
        <w:rPr>
          <w:rFonts w:hint="eastAsia" w:ascii="宋体" w:hAnsi="宋体" w:cs="宋体"/>
          <w:b w:val="0"/>
          <w:bCs/>
          <w:color w:val="auto"/>
          <w:sz w:val="22"/>
          <w:highlight w:val="none"/>
        </w:rPr>
        <w:t>等效圆</w:t>
      </w:r>
      <w:r>
        <w:rPr>
          <w:rFonts w:ascii="宋体" w:hAnsi="宋体" w:cs="宋体"/>
          <w:b w:val="0"/>
          <w:bCs/>
          <w:color w:val="auto"/>
          <w:sz w:val="22"/>
          <w:highlight w:val="none"/>
        </w:rPr>
        <w:t>×400</w:t>
      </w:r>
    </w:p>
    <w:p w14:paraId="7F034ACB">
      <w:pPr>
        <w:jc w:val="center"/>
        <w:rPr>
          <w:rFonts w:ascii="宋体" w:hAnsi="宋体" w:cs="宋体"/>
          <w:b w:val="0"/>
          <w:bCs/>
          <w:color w:val="auto"/>
          <w:highlight w:val="none"/>
        </w:rPr>
      </w:pPr>
      <w:r>
        <w:rPr>
          <w:rFonts w:ascii="宋体" w:hAnsi="宋体" w:cs="宋体"/>
          <w:b w:val="0"/>
          <w:bCs/>
          <w:color w:val="auto"/>
          <w:highlight w:val="none"/>
        </w:rPr>
        <w:drawing>
          <wp:inline distT="0" distB="0" distL="114300" distR="114300">
            <wp:extent cx="5762625" cy="1514475"/>
            <wp:effectExtent l="0" t="0" r="13335" b="9525"/>
            <wp:docPr id="12" name="图片 2" descr="160电极图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160电极图260304"/>
                    <pic:cNvPicPr>
                      <a:picLocks noChangeAspect="1"/>
                    </pic:cNvPicPr>
                  </pic:nvPicPr>
                  <pic:blipFill>
                    <a:blip r:embed="rId19">
                      <a:lum bright="-71997" contrast="72000"/>
                    </a:blip>
                    <a:srcRect b="21181"/>
                    <a:stretch>
                      <a:fillRect/>
                    </a:stretch>
                  </pic:blipFill>
                  <pic:spPr>
                    <a:xfrm>
                      <a:off x="0" y="0"/>
                      <a:ext cx="5762625" cy="1514475"/>
                    </a:xfrm>
                    <a:prstGeom prst="rect">
                      <a:avLst/>
                    </a:prstGeom>
                    <a:noFill/>
                    <a:ln>
                      <a:noFill/>
                    </a:ln>
                  </pic:spPr>
                </pic:pic>
              </a:graphicData>
            </a:graphic>
          </wp:inline>
        </w:drawing>
      </w:r>
    </w:p>
    <w:p w14:paraId="7F034ACC">
      <w:pPr>
        <w:jc w:val="center"/>
        <w:rPr>
          <w:rFonts w:ascii="宋体" w:hAnsi="宋体" w:cs="宋体"/>
          <w:b w:val="0"/>
          <w:bCs/>
          <w:color w:val="auto"/>
          <w:sz w:val="22"/>
          <w:highlight w:val="none"/>
        </w:rPr>
      </w:pPr>
      <w:r>
        <w:rPr>
          <w:rFonts w:hint="eastAsia" w:ascii="宋体" w:hAnsi="宋体" w:cs="宋体"/>
          <w:b w:val="0"/>
          <w:bCs/>
          <w:color w:val="auto"/>
          <w:highlight w:val="none"/>
        </w:rPr>
        <w:t xml:space="preserve">图2 </w:t>
      </w:r>
      <w:r>
        <w:rPr>
          <w:rFonts w:ascii="宋体" w:hAnsi="宋体" w:cs="宋体"/>
          <w:b w:val="0"/>
          <w:bCs/>
          <w:color w:val="auto"/>
          <w:highlight w:val="none"/>
        </w:rPr>
        <w:t xml:space="preserve"> </w:t>
      </w:r>
      <w:r>
        <w:rPr>
          <w:rFonts w:ascii="宋体" w:hAnsi="宋体" w:cs="宋体"/>
          <w:b w:val="0"/>
          <w:bCs/>
          <w:color w:val="auto"/>
          <w:sz w:val="22"/>
          <w:highlight w:val="none"/>
        </w:rPr>
        <w:t>Φ160</w:t>
      </w:r>
      <w:r>
        <w:rPr>
          <w:rFonts w:hint="eastAsia" w:ascii="宋体" w:hAnsi="宋体" w:cs="宋体"/>
          <w:b w:val="0"/>
          <w:bCs/>
          <w:color w:val="auto"/>
          <w:sz w:val="22"/>
          <w:highlight w:val="none"/>
        </w:rPr>
        <w:t>等效圆</w:t>
      </w:r>
      <w:r>
        <w:rPr>
          <w:rFonts w:ascii="宋体" w:hAnsi="宋体" w:cs="宋体"/>
          <w:b w:val="0"/>
          <w:bCs/>
          <w:color w:val="auto"/>
          <w:sz w:val="22"/>
          <w:highlight w:val="none"/>
        </w:rPr>
        <w:t>×400</w:t>
      </w:r>
    </w:p>
    <w:p w14:paraId="7F034ACD">
      <w:pPr>
        <w:jc w:val="center"/>
        <w:rPr>
          <w:rFonts w:ascii="宋体" w:hAnsi="宋体" w:cs="宋体"/>
          <w:b w:val="0"/>
          <w:bCs/>
          <w:color w:val="auto"/>
          <w:sz w:val="22"/>
          <w:highlight w:val="none"/>
        </w:rPr>
      </w:pPr>
      <w:r>
        <w:rPr>
          <w:rFonts w:ascii="宋体" w:hAnsi="宋体" w:cs="宋体"/>
          <w:b w:val="0"/>
          <w:bCs/>
          <w:color w:val="auto"/>
          <w:sz w:val="22"/>
          <w:highlight w:val="none"/>
        </w:rPr>
        <w:drawing>
          <wp:inline distT="0" distB="0" distL="114300" distR="114300">
            <wp:extent cx="5753100" cy="1838325"/>
            <wp:effectExtent l="0" t="0" r="7620" b="5715"/>
            <wp:docPr id="7" name="图片 3" descr="220电极图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220电极图260304"/>
                    <pic:cNvPicPr>
                      <a:picLocks noChangeAspect="1"/>
                    </pic:cNvPicPr>
                  </pic:nvPicPr>
                  <pic:blipFill>
                    <a:blip r:embed="rId20">
                      <a:lum bright="-71997" contrast="72000"/>
                    </a:blip>
                    <a:srcRect b="20367"/>
                    <a:stretch>
                      <a:fillRect/>
                    </a:stretch>
                  </pic:blipFill>
                  <pic:spPr>
                    <a:xfrm>
                      <a:off x="0" y="0"/>
                      <a:ext cx="5753100" cy="1838325"/>
                    </a:xfrm>
                    <a:prstGeom prst="rect">
                      <a:avLst/>
                    </a:prstGeom>
                    <a:noFill/>
                    <a:ln>
                      <a:noFill/>
                    </a:ln>
                  </pic:spPr>
                </pic:pic>
              </a:graphicData>
            </a:graphic>
          </wp:inline>
        </w:drawing>
      </w:r>
    </w:p>
    <w:p w14:paraId="7F034ACE">
      <w:pPr>
        <w:jc w:val="center"/>
        <w:rPr>
          <w:rFonts w:ascii="宋体" w:hAnsi="宋体" w:cs="宋体"/>
          <w:b w:val="0"/>
          <w:bCs/>
          <w:color w:val="auto"/>
          <w:sz w:val="22"/>
          <w:highlight w:val="none"/>
        </w:rPr>
      </w:pPr>
      <w:r>
        <w:rPr>
          <w:rFonts w:hint="eastAsia" w:ascii="宋体" w:hAnsi="宋体" w:cs="宋体"/>
          <w:b w:val="0"/>
          <w:bCs/>
          <w:color w:val="auto"/>
          <w:highlight w:val="none"/>
        </w:rPr>
        <w:t xml:space="preserve">图3 </w:t>
      </w:r>
      <w:r>
        <w:rPr>
          <w:rFonts w:ascii="宋体" w:hAnsi="宋体" w:cs="宋体"/>
          <w:b w:val="0"/>
          <w:bCs/>
          <w:color w:val="auto"/>
          <w:highlight w:val="none"/>
        </w:rPr>
        <w:t xml:space="preserve"> </w:t>
      </w:r>
      <w:r>
        <w:rPr>
          <w:rFonts w:ascii="宋体" w:hAnsi="宋体" w:cs="宋体"/>
          <w:b w:val="0"/>
          <w:bCs/>
          <w:color w:val="auto"/>
          <w:sz w:val="22"/>
          <w:highlight w:val="none"/>
        </w:rPr>
        <w:t>Φ220</w:t>
      </w:r>
      <w:r>
        <w:rPr>
          <w:rFonts w:hint="eastAsia" w:ascii="宋体" w:hAnsi="宋体" w:cs="宋体"/>
          <w:b w:val="0"/>
          <w:bCs/>
          <w:color w:val="auto"/>
          <w:sz w:val="22"/>
          <w:highlight w:val="none"/>
        </w:rPr>
        <w:t>等效圆×400（整块压制）</w:t>
      </w:r>
    </w:p>
    <w:p w14:paraId="7F034ACF">
      <w:pPr>
        <w:jc w:val="center"/>
        <w:rPr>
          <w:rFonts w:ascii="宋体" w:hAnsi="宋体" w:cs="宋体"/>
          <w:b w:val="0"/>
          <w:bCs/>
          <w:color w:val="auto"/>
          <w:highlight w:val="none"/>
        </w:rPr>
      </w:pPr>
      <w:r>
        <w:rPr>
          <w:rFonts w:ascii="宋体" w:hAnsi="宋体" w:cs="宋体"/>
          <w:b w:val="0"/>
          <w:bCs/>
          <w:color w:val="auto"/>
          <w:highlight w:val="none"/>
        </w:rPr>
        <w:drawing>
          <wp:inline distT="0" distB="0" distL="114300" distR="114300">
            <wp:extent cx="5762625" cy="2543175"/>
            <wp:effectExtent l="0" t="0" r="13335" b="1905"/>
            <wp:docPr id="6" name="图片 4" descr="合锻电极压制工艺方案2603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合锻电极压制工艺方案260306（A1）"/>
                    <pic:cNvPicPr>
                      <a:picLocks noChangeAspect="1"/>
                    </pic:cNvPicPr>
                  </pic:nvPicPr>
                  <pic:blipFill>
                    <a:blip r:embed="rId21">
                      <a:lum bright="-65997" contrast="60000"/>
                    </a:blip>
                    <a:srcRect b="11624"/>
                    <a:stretch>
                      <a:fillRect/>
                    </a:stretch>
                  </pic:blipFill>
                  <pic:spPr>
                    <a:xfrm>
                      <a:off x="0" y="0"/>
                      <a:ext cx="5762625" cy="2543175"/>
                    </a:xfrm>
                    <a:prstGeom prst="rect">
                      <a:avLst/>
                    </a:prstGeom>
                    <a:noFill/>
                    <a:ln>
                      <a:noFill/>
                    </a:ln>
                  </pic:spPr>
                </pic:pic>
              </a:graphicData>
            </a:graphic>
          </wp:inline>
        </w:drawing>
      </w:r>
    </w:p>
    <w:p w14:paraId="7F034AD0">
      <w:pPr>
        <w:jc w:val="center"/>
        <w:rPr>
          <w:rFonts w:ascii="宋体" w:hAnsi="宋体" w:cs="宋体"/>
          <w:b w:val="0"/>
          <w:bCs/>
          <w:color w:val="auto"/>
          <w:sz w:val="22"/>
          <w:highlight w:val="none"/>
        </w:rPr>
      </w:pPr>
      <w:r>
        <w:rPr>
          <w:rFonts w:hint="eastAsia" w:ascii="宋体" w:hAnsi="宋体" w:cs="宋体"/>
          <w:b w:val="0"/>
          <w:bCs/>
          <w:color w:val="auto"/>
          <w:highlight w:val="none"/>
        </w:rPr>
        <w:t>图4</w:t>
      </w:r>
      <w:r>
        <w:rPr>
          <w:rFonts w:ascii="宋体" w:hAnsi="宋体" w:cs="宋体"/>
          <w:b w:val="0"/>
          <w:bCs/>
          <w:color w:val="auto"/>
          <w:highlight w:val="none"/>
        </w:rPr>
        <w:t xml:space="preserve">  </w:t>
      </w:r>
      <w:r>
        <w:rPr>
          <w:rFonts w:ascii="宋体" w:hAnsi="宋体" w:cs="宋体"/>
          <w:b w:val="0"/>
          <w:bCs/>
          <w:color w:val="auto"/>
          <w:sz w:val="22"/>
          <w:highlight w:val="none"/>
        </w:rPr>
        <w:t>Φ300</w:t>
      </w:r>
      <w:r>
        <w:rPr>
          <w:rFonts w:hint="eastAsia" w:ascii="宋体" w:hAnsi="宋体" w:cs="宋体"/>
          <w:b w:val="0"/>
          <w:bCs/>
          <w:color w:val="auto"/>
          <w:sz w:val="22"/>
          <w:highlight w:val="none"/>
        </w:rPr>
        <w:t>等效圆</w:t>
      </w:r>
      <w:r>
        <w:rPr>
          <w:rFonts w:ascii="宋体" w:hAnsi="宋体" w:cs="宋体"/>
          <w:b w:val="0"/>
          <w:bCs/>
          <w:color w:val="auto"/>
          <w:sz w:val="22"/>
          <w:highlight w:val="none"/>
        </w:rPr>
        <w:t>×400</w:t>
      </w:r>
    </w:p>
    <w:p w14:paraId="7F034AD1">
      <w:pPr>
        <w:jc w:val="center"/>
        <w:rPr>
          <w:rFonts w:ascii="宋体" w:hAnsi="宋体" w:cs="宋体"/>
          <w:b w:val="0"/>
          <w:bCs/>
          <w:color w:val="auto"/>
          <w:highlight w:val="none"/>
        </w:rPr>
      </w:pPr>
      <w:r>
        <w:rPr>
          <w:rFonts w:ascii="宋体" w:hAnsi="宋体" w:cs="宋体"/>
          <w:b w:val="0"/>
          <w:bCs/>
          <w:color w:val="auto"/>
          <w:highlight w:val="none"/>
        </w:rPr>
        <w:drawing>
          <wp:inline distT="0" distB="0" distL="114300" distR="114300">
            <wp:extent cx="5762625" cy="2762250"/>
            <wp:effectExtent l="0" t="0" r="13335" b="11430"/>
            <wp:docPr id="9" name="图片 5" descr="合锻电极压制工艺方案260306（A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合锻电极压制工艺方案260306（A1）340"/>
                    <pic:cNvPicPr>
                      <a:picLocks noChangeAspect="1"/>
                    </pic:cNvPicPr>
                  </pic:nvPicPr>
                  <pic:blipFill>
                    <a:blip r:embed="rId22">
                      <a:lum bright="-59998" contrast="59999"/>
                    </a:blip>
                    <a:srcRect b="10831"/>
                    <a:stretch>
                      <a:fillRect/>
                    </a:stretch>
                  </pic:blipFill>
                  <pic:spPr>
                    <a:xfrm>
                      <a:off x="0" y="0"/>
                      <a:ext cx="5762625" cy="2762250"/>
                    </a:xfrm>
                    <a:prstGeom prst="rect">
                      <a:avLst/>
                    </a:prstGeom>
                    <a:noFill/>
                    <a:ln>
                      <a:noFill/>
                    </a:ln>
                  </pic:spPr>
                </pic:pic>
              </a:graphicData>
            </a:graphic>
          </wp:inline>
        </w:drawing>
      </w:r>
    </w:p>
    <w:p w14:paraId="7F034AD2">
      <w:pPr>
        <w:jc w:val="center"/>
        <w:rPr>
          <w:rFonts w:ascii="宋体" w:hAnsi="宋体" w:cs="宋体"/>
          <w:b w:val="0"/>
          <w:bCs/>
          <w:color w:val="auto"/>
          <w:highlight w:val="none"/>
        </w:rPr>
      </w:pPr>
      <w:r>
        <w:rPr>
          <w:rFonts w:hint="eastAsia" w:ascii="宋体" w:hAnsi="宋体" w:cs="宋体"/>
          <w:b w:val="0"/>
          <w:bCs/>
          <w:color w:val="auto"/>
          <w:highlight w:val="none"/>
        </w:rPr>
        <w:t>图5</w:t>
      </w:r>
      <w:r>
        <w:rPr>
          <w:rFonts w:ascii="宋体" w:hAnsi="宋体" w:cs="宋体"/>
          <w:b w:val="0"/>
          <w:bCs/>
          <w:color w:val="auto"/>
          <w:highlight w:val="none"/>
        </w:rPr>
        <w:t xml:space="preserve">  </w:t>
      </w:r>
      <w:r>
        <w:rPr>
          <w:rFonts w:ascii="宋体" w:hAnsi="宋体" w:cs="宋体"/>
          <w:b w:val="0"/>
          <w:bCs/>
          <w:color w:val="auto"/>
          <w:sz w:val="22"/>
          <w:highlight w:val="none"/>
        </w:rPr>
        <w:t>Φ340</w:t>
      </w:r>
      <w:r>
        <w:rPr>
          <w:rFonts w:hint="eastAsia" w:ascii="宋体" w:hAnsi="宋体" w:cs="宋体"/>
          <w:b w:val="0"/>
          <w:bCs/>
          <w:color w:val="auto"/>
          <w:sz w:val="22"/>
          <w:highlight w:val="none"/>
        </w:rPr>
        <w:t>等效圆</w:t>
      </w:r>
      <w:r>
        <w:rPr>
          <w:rFonts w:ascii="宋体" w:hAnsi="宋体" w:cs="宋体"/>
          <w:b w:val="0"/>
          <w:bCs/>
          <w:color w:val="auto"/>
          <w:sz w:val="22"/>
          <w:highlight w:val="none"/>
        </w:rPr>
        <w:t>×400</w:t>
      </w:r>
    </w:p>
    <w:p w14:paraId="7F034AD3">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6.3 电极块码垛系统</w:t>
      </w:r>
    </w:p>
    <w:p w14:paraId="7F034AD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乙方按表2所示信息进行电极块码垛系统的设计。</w:t>
      </w:r>
    </w:p>
    <w:p w14:paraId="7F034AD5">
      <w:pPr>
        <w:spacing w:line="460" w:lineRule="exact"/>
        <w:jc w:val="center"/>
        <w:rPr>
          <w:rFonts w:ascii="宋体" w:hAnsi="宋体" w:cs="宋体"/>
          <w:b w:val="0"/>
          <w:bCs/>
          <w:color w:val="auto"/>
          <w:sz w:val="24"/>
          <w:highlight w:val="none"/>
        </w:rPr>
      </w:pPr>
      <w:r>
        <w:rPr>
          <w:rFonts w:hint="eastAsia" w:ascii="宋体" w:hAnsi="宋体" w:cs="宋体"/>
          <w:b w:val="0"/>
          <w:bCs/>
          <w:color w:val="auto"/>
          <w:sz w:val="24"/>
          <w:highlight w:val="none"/>
        </w:rPr>
        <w:t>表2  电极块组合成自耗电极的相关信息</w:t>
      </w:r>
    </w:p>
    <w:tbl>
      <w:tblPr>
        <w:tblStyle w:val="46"/>
        <w:tblW w:w="84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5"/>
        <w:gridCol w:w="2402"/>
        <w:gridCol w:w="1112"/>
        <w:gridCol w:w="1112"/>
        <w:gridCol w:w="1112"/>
        <w:gridCol w:w="1112"/>
        <w:gridCol w:w="1114"/>
      </w:tblGrid>
      <w:tr w14:paraId="7F034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65" w:type="dxa"/>
            <w:vAlign w:val="center"/>
          </w:tcPr>
          <w:p w14:paraId="7F034AD6">
            <w:pPr>
              <w:pStyle w:val="335"/>
              <w:spacing w:line="0" w:lineRule="atLeast"/>
              <w:jc w:val="center"/>
              <w:rPr>
                <w:b w:val="0"/>
                <w:bCs/>
                <w:color w:val="auto"/>
                <w:sz w:val="22"/>
                <w:szCs w:val="22"/>
                <w:highlight w:val="none"/>
              </w:rPr>
            </w:pPr>
            <w:r>
              <w:rPr>
                <w:rFonts w:hint="eastAsia"/>
                <w:b w:val="0"/>
                <w:bCs/>
                <w:color w:val="auto"/>
                <w:sz w:val="22"/>
                <w:szCs w:val="22"/>
                <w:highlight w:val="none"/>
              </w:rPr>
              <w:t>序</w:t>
            </w:r>
          </w:p>
          <w:p w14:paraId="7F034AD7">
            <w:pPr>
              <w:pStyle w:val="335"/>
              <w:spacing w:line="0" w:lineRule="atLeast"/>
              <w:jc w:val="center"/>
              <w:rPr>
                <w:b w:val="0"/>
                <w:bCs/>
                <w:color w:val="auto"/>
                <w:sz w:val="22"/>
                <w:szCs w:val="22"/>
                <w:highlight w:val="none"/>
              </w:rPr>
            </w:pPr>
            <w:r>
              <w:rPr>
                <w:rFonts w:hint="eastAsia"/>
                <w:b w:val="0"/>
                <w:bCs/>
                <w:color w:val="auto"/>
                <w:sz w:val="22"/>
                <w:szCs w:val="22"/>
                <w:highlight w:val="none"/>
              </w:rPr>
              <w:t>号</w:t>
            </w:r>
          </w:p>
        </w:tc>
        <w:tc>
          <w:tcPr>
            <w:tcW w:w="2402" w:type="dxa"/>
            <w:vAlign w:val="center"/>
          </w:tcPr>
          <w:p w14:paraId="7F034AD8">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单块电极块</w:t>
            </w:r>
          </w:p>
          <w:p w14:paraId="7F034AD9">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名义规格/mm</w:t>
            </w:r>
          </w:p>
        </w:tc>
        <w:tc>
          <w:tcPr>
            <w:tcW w:w="1112" w:type="dxa"/>
            <w:tcBorders>
              <w:left w:val="single" w:color="auto" w:sz="4" w:space="0"/>
            </w:tcBorders>
            <w:vAlign w:val="center"/>
          </w:tcPr>
          <w:p w14:paraId="7F034ADA">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每节</w:t>
            </w:r>
          </w:p>
          <w:p w14:paraId="7F034ADB">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块数</w:t>
            </w:r>
          </w:p>
        </w:tc>
        <w:tc>
          <w:tcPr>
            <w:tcW w:w="1112" w:type="dxa"/>
            <w:tcBorders>
              <w:right w:val="single" w:color="auto" w:sz="4" w:space="0"/>
            </w:tcBorders>
            <w:vAlign w:val="center"/>
          </w:tcPr>
          <w:p w14:paraId="7F034ADC">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每支</w:t>
            </w:r>
          </w:p>
          <w:p w14:paraId="7F034ADD">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节数</w:t>
            </w:r>
          </w:p>
        </w:tc>
        <w:tc>
          <w:tcPr>
            <w:tcW w:w="1112" w:type="dxa"/>
            <w:tcBorders>
              <w:left w:val="single" w:color="auto" w:sz="4" w:space="0"/>
              <w:right w:val="single" w:color="auto" w:sz="4" w:space="0"/>
            </w:tcBorders>
            <w:vAlign w:val="center"/>
          </w:tcPr>
          <w:p w14:paraId="7F034ADE">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每支</w:t>
            </w:r>
          </w:p>
          <w:p w14:paraId="7F034ADF">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块数</w:t>
            </w:r>
          </w:p>
        </w:tc>
        <w:tc>
          <w:tcPr>
            <w:tcW w:w="1112" w:type="dxa"/>
            <w:tcBorders>
              <w:left w:val="single" w:color="auto" w:sz="4" w:space="0"/>
              <w:right w:val="single" w:color="auto" w:sz="4" w:space="0"/>
            </w:tcBorders>
            <w:vAlign w:val="center"/>
          </w:tcPr>
          <w:p w14:paraId="7F034AE0">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电极重量</w:t>
            </w:r>
          </w:p>
          <w:p w14:paraId="7F034AE1">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kg</w:t>
            </w:r>
          </w:p>
        </w:tc>
        <w:tc>
          <w:tcPr>
            <w:tcW w:w="1114" w:type="dxa"/>
            <w:tcBorders>
              <w:right w:val="single" w:color="auto" w:sz="4" w:space="0"/>
            </w:tcBorders>
            <w:vAlign w:val="center"/>
          </w:tcPr>
          <w:p w14:paraId="7F034AE2">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电极长度</w:t>
            </w:r>
          </w:p>
          <w:p w14:paraId="7F034AE3">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mm</w:t>
            </w:r>
          </w:p>
        </w:tc>
      </w:tr>
      <w:tr w14:paraId="7F034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jc w:val="center"/>
        </w:trPr>
        <w:tc>
          <w:tcPr>
            <w:tcW w:w="465" w:type="dxa"/>
            <w:vAlign w:val="center"/>
          </w:tcPr>
          <w:p w14:paraId="7F034AE5">
            <w:pPr>
              <w:pStyle w:val="335"/>
              <w:spacing w:line="0" w:lineRule="atLeast"/>
              <w:jc w:val="center"/>
              <w:rPr>
                <w:b w:val="0"/>
                <w:bCs/>
                <w:color w:val="auto"/>
                <w:sz w:val="22"/>
                <w:szCs w:val="22"/>
                <w:highlight w:val="none"/>
              </w:rPr>
            </w:pPr>
            <w:r>
              <w:rPr>
                <w:b w:val="0"/>
                <w:bCs/>
                <w:color w:val="auto"/>
                <w:sz w:val="22"/>
                <w:szCs w:val="22"/>
                <w:highlight w:val="none"/>
              </w:rPr>
              <w:t>1</w:t>
            </w:r>
          </w:p>
        </w:tc>
        <w:tc>
          <w:tcPr>
            <w:tcW w:w="2402" w:type="dxa"/>
            <w:vAlign w:val="center"/>
          </w:tcPr>
          <w:p w14:paraId="7F034AE6">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110</w:t>
            </w:r>
            <w:r>
              <w:rPr>
                <w:rFonts w:hint="eastAsia"/>
                <w:b w:val="0"/>
                <w:bCs/>
                <w:color w:val="auto"/>
                <w:sz w:val="22"/>
                <w:szCs w:val="22"/>
                <w:highlight w:val="none"/>
                <w:lang w:eastAsia="zh-CN"/>
              </w:rPr>
              <w:t>等效圆</w:t>
            </w:r>
            <w:r>
              <w:rPr>
                <w:b w:val="0"/>
                <w:bCs/>
                <w:color w:val="auto"/>
                <w:sz w:val="22"/>
                <w:szCs w:val="22"/>
                <w:highlight w:val="none"/>
              </w:rPr>
              <w:t>×400</w:t>
            </w:r>
          </w:p>
        </w:tc>
        <w:tc>
          <w:tcPr>
            <w:tcW w:w="1112" w:type="dxa"/>
            <w:tcBorders>
              <w:left w:val="single" w:color="auto" w:sz="4" w:space="0"/>
            </w:tcBorders>
            <w:vAlign w:val="center"/>
          </w:tcPr>
          <w:p w14:paraId="7F034AE7">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w:t>
            </w:r>
          </w:p>
        </w:tc>
        <w:tc>
          <w:tcPr>
            <w:tcW w:w="1112" w:type="dxa"/>
            <w:tcBorders>
              <w:right w:val="single" w:color="auto" w:sz="4" w:space="0"/>
            </w:tcBorders>
            <w:vAlign w:val="center"/>
          </w:tcPr>
          <w:p w14:paraId="7F034AE8">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w:t>
            </w:r>
          </w:p>
        </w:tc>
        <w:tc>
          <w:tcPr>
            <w:tcW w:w="1112" w:type="dxa"/>
            <w:tcBorders>
              <w:left w:val="single" w:color="auto" w:sz="4" w:space="0"/>
              <w:right w:val="single" w:color="auto" w:sz="4" w:space="0"/>
            </w:tcBorders>
            <w:vAlign w:val="center"/>
          </w:tcPr>
          <w:p w14:paraId="7F034AE9">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4</w:t>
            </w:r>
          </w:p>
        </w:tc>
        <w:tc>
          <w:tcPr>
            <w:tcW w:w="1112" w:type="dxa"/>
            <w:tcBorders>
              <w:left w:val="single" w:color="auto" w:sz="4" w:space="0"/>
              <w:right w:val="single" w:color="auto" w:sz="4" w:space="0"/>
            </w:tcBorders>
            <w:vAlign w:val="center"/>
          </w:tcPr>
          <w:p w14:paraId="7F034AEA">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w:t>
            </w:r>
            <w:r>
              <w:rPr>
                <w:b w:val="0"/>
                <w:bCs/>
                <w:color w:val="auto"/>
                <w:sz w:val="22"/>
                <w:szCs w:val="22"/>
                <w:highlight w:val="none"/>
                <w:lang w:eastAsia="zh-CN"/>
              </w:rPr>
              <w:t>46.8</w:t>
            </w:r>
          </w:p>
        </w:tc>
        <w:tc>
          <w:tcPr>
            <w:tcW w:w="1114" w:type="dxa"/>
            <w:tcBorders>
              <w:right w:val="single" w:color="auto" w:sz="4" w:space="0"/>
            </w:tcBorders>
            <w:vAlign w:val="center"/>
          </w:tcPr>
          <w:p w14:paraId="7F034AEB">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1600</w:t>
            </w:r>
          </w:p>
        </w:tc>
      </w:tr>
      <w:tr w14:paraId="7F034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65" w:type="dxa"/>
            <w:vAlign w:val="center"/>
          </w:tcPr>
          <w:p w14:paraId="7F034AED">
            <w:pPr>
              <w:pStyle w:val="335"/>
              <w:spacing w:line="0" w:lineRule="atLeast"/>
              <w:jc w:val="center"/>
              <w:rPr>
                <w:b w:val="0"/>
                <w:bCs/>
                <w:color w:val="auto"/>
                <w:sz w:val="22"/>
                <w:szCs w:val="22"/>
                <w:highlight w:val="none"/>
              </w:rPr>
            </w:pPr>
            <w:r>
              <w:rPr>
                <w:b w:val="0"/>
                <w:bCs/>
                <w:color w:val="auto"/>
                <w:sz w:val="22"/>
                <w:szCs w:val="22"/>
                <w:highlight w:val="none"/>
              </w:rPr>
              <w:t>2</w:t>
            </w:r>
          </w:p>
        </w:tc>
        <w:tc>
          <w:tcPr>
            <w:tcW w:w="2402" w:type="dxa"/>
            <w:vAlign w:val="center"/>
          </w:tcPr>
          <w:p w14:paraId="7F034AEE">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1</w:t>
            </w:r>
            <w:r>
              <w:rPr>
                <w:b w:val="0"/>
                <w:bCs/>
                <w:color w:val="auto"/>
                <w:sz w:val="22"/>
                <w:szCs w:val="22"/>
                <w:highlight w:val="none"/>
              </w:rPr>
              <w:t>60</w:t>
            </w:r>
            <w:r>
              <w:rPr>
                <w:rFonts w:hint="eastAsia"/>
                <w:b w:val="0"/>
                <w:bCs/>
                <w:color w:val="auto"/>
                <w:sz w:val="22"/>
                <w:szCs w:val="22"/>
                <w:highlight w:val="none"/>
                <w:lang w:eastAsia="zh-CN"/>
              </w:rPr>
              <w:t>等效圆</w:t>
            </w:r>
            <w:r>
              <w:rPr>
                <w:b w:val="0"/>
                <w:bCs/>
                <w:color w:val="auto"/>
                <w:sz w:val="22"/>
                <w:szCs w:val="22"/>
                <w:highlight w:val="none"/>
              </w:rPr>
              <w:t>×400</w:t>
            </w:r>
          </w:p>
        </w:tc>
        <w:tc>
          <w:tcPr>
            <w:tcW w:w="1112" w:type="dxa"/>
            <w:tcBorders>
              <w:left w:val="single" w:color="auto" w:sz="4" w:space="0"/>
            </w:tcBorders>
            <w:vAlign w:val="center"/>
          </w:tcPr>
          <w:p w14:paraId="7F034AEF">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w:t>
            </w:r>
          </w:p>
        </w:tc>
        <w:tc>
          <w:tcPr>
            <w:tcW w:w="1112" w:type="dxa"/>
            <w:tcBorders>
              <w:right w:val="single" w:color="auto" w:sz="4" w:space="0"/>
            </w:tcBorders>
            <w:vAlign w:val="center"/>
          </w:tcPr>
          <w:p w14:paraId="7F034AF0">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5</w:t>
            </w:r>
          </w:p>
        </w:tc>
        <w:tc>
          <w:tcPr>
            <w:tcW w:w="1112" w:type="dxa"/>
            <w:tcBorders>
              <w:left w:val="single" w:color="auto" w:sz="4" w:space="0"/>
              <w:right w:val="single" w:color="auto" w:sz="4" w:space="0"/>
            </w:tcBorders>
            <w:vAlign w:val="center"/>
          </w:tcPr>
          <w:p w14:paraId="7F034AF1">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5</w:t>
            </w:r>
          </w:p>
        </w:tc>
        <w:tc>
          <w:tcPr>
            <w:tcW w:w="1112" w:type="dxa"/>
            <w:tcBorders>
              <w:left w:val="single" w:color="auto" w:sz="4" w:space="0"/>
              <w:right w:val="single" w:color="auto" w:sz="4" w:space="0"/>
            </w:tcBorders>
            <w:vAlign w:val="center"/>
          </w:tcPr>
          <w:p w14:paraId="7F034AF2">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～92.5</w:t>
            </w:r>
          </w:p>
        </w:tc>
        <w:tc>
          <w:tcPr>
            <w:tcW w:w="1114" w:type="dxa"/>
            <w:tcBorders>
              <w:right w:val="single" w:color="auto" w:sz="4" w:space="0"/>
            </w:tcBorders>
            <w:vAlign w:val="center"/>
          </w:tcPr>
          <w:p w14:paraId="7F034AF3">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2000</w:t>
            </w:r>
          </w:p>
        </w:tc>
      </w:tr>
      <w:tr w14:paraId="7F034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65" w:type="dxa"/>
            <w:vAlign w:val="center"/>
          </w:tcPr>
          <w:p w14:paraId="7F034AF5">
            <w:pPr>
              <w:pStyle w:val="335"/>
              <w:spacing w:line="0" w:lineRule="atLeast"/>
              <w:jc w:val="center"/>
              <w:rPr>
                <w:b w:val="0"/>
                <w:bCs/>
                <w:color w:val="auto"/>
                <w:sz w:val="22"/>
                <w:szCs w:val="22"/>
                <w:highlight w:val="none"/>
              </w:rPr>
            </w:pPr>
            <w:r>
              <w:rPr>
                <w:b w:val="0"/>
                <w:bCs/>
                <w:color w:val="auto"/>
                <w:sz w:val="22"/>
                <w:szCs w:val="22"/>
                <w:highlight w:val="none"/>
              </w:rPr>
              <w:t>3</w:t>
            </w:r>
          </w:p>
        </w:tc>
        <w:tc>
          <w:tcPr>
            <w:tcW w:w="2402" w:type="dxa"/>
            <w:vAlign w:val="center"/>
          </w:tcPr>
          <w:p w14:paraId="7F034AF6">
            <w:pPr>
              <w:pStyle w:val="335"/>
              <w:spacing w:line="0" w:lineRule="atLeast"/>
              <w:jc w:val="center"/>
              <w:rPr>
                <w:b w:val="0"/>
                <w:bCs/>
                <w:color w:val="auto"/>
                <w:sz w:val="22"/>
                <w:szCs w:val="22"/>
                <w:highlight w:val="none"/>
                <w:lang w:eastAsia="zh-CN"/>
              </w:rPr>
            </w:pPr>
            <w:r>
              <w:rPr>
                <w:b w:val="0"/>
                <w:bCs/>
                <w:color w:val="auto"/>
                <w:sz w:val="22"/>
                <w:szCs w:val="22"/>
                <w:highlight w:val="none"/>
              </w:rPr>
              <w:t>Φ</w:t>
            </w:r>
            <w:r>
              <w:rPr>
                <w:b w:val="0"/>
                <w:bCs/>
                <w:color w:val="auto"/>
                <w:sz w:val="22"/>
                <w:szCs w:val="22"/>
                <w:highlight w:val="none"/>
                <w:lang w:eastAsia="zh-CN"/>
              </w:rPr>
              <w:t>220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1112" w:type="dxa"/>
            <w:tcBorders>
              <w:left w:val="single" w:color="auto" w:sz="4" w:space="0"/>
            </w:tcBorders>
            <w:vAlign w:val="center"/>
          </w:tcPr>
          <w:p w14:paraId="7F034AF7">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w:t>
            </w:r>
          </w:p>
        </w:tc>
        <w:tc>
          <w:tcPr>
            <w:tcW w:w="1112" w:type="dxa"/>
            <w:tcBorders>
              <w:right w:val="single" w:color="auto" w:sz="4" w:space="0"/>
            </w:tcBorders>
            <w:vAlign w:val="center"/>
          </w:tcPr>
          <w:p w14:paraId="7F034AF8">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5</w:t>
            </w:r>
          </w:p>
        </w:tc>
        <w:tc>
          <w:tcPr>
            <w:tcW w:w="1112" w:type="dxa"/>
            <w:tcBorders>
              <w:left w:val="single" w:color="auto" w:sz="4" w:space="0"/>
              <w:right w:val="single" w:color="auto" w:sz="4" w:space="0"/>
            </w:tcBorders>
            <w:vAlign w:val="center"/>
          </w:tcPr>
          <w:p w14:paraId="7F034AF9">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5</w:t>
            </w:r>
          </w:p>
        </w:tc>
        <w:tc>
          <w:tcPr>
            <w:tcW w:w="1112" w:type="dxa"/>
            <w:tcBorders>
              <w:left w:val="single" w:color="auto" w:sz="4" w:space="0"/>
              <w:right w:val="single" w:color="auto" w:sz="4" w:space="0"/>
            </w:tcBorders>
            <w:vAlign w:val="center"/>
          </w:tcPr>
          <w:p w14:paraId="7F034AFA">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～202</w:t>
            </w:r>
          </w:p>
        </w:tc>
        <w:tc>
          <w:tcPr>
            <w:tcW w:w="1114" w:type="dxa"/>
            <w:tcBorders>
              <w:right w:val="single" w:color="auto" w:sz="4" w:space="0"/>
            </w:tcBorders>
            <w:vAlign w:val="center"/>
          </w:tcPr>
          <w:p w14:paraId="7F034AFB">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2000</w:t>
            </w:r>
          </w:p>
        </w:tc>
      </w:tr>
      <w:tr w14:paraId="7F034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65" w:type="dxa"/>
            <w:vAlign w:val="center"/>
          </w:tcPr>
          <w:p w14:paraId="7F034AFD">
            <w:pPr>
              <w:pStyle w:val="335"/>
              <w:spacing w:line="0" w:lineRule="atLeast"/>
              <w:jc w:val="center"/>
              <w:rPr>
                <w:b w:val="0"/>
                <w:bCs/>
                <w:color w:val="auto"/>
                <w:sz w:val="22"/>
                <w:szCs w:val="22"/>
                <w:highlight w:val="none"/>
              </w:rPr>
            </w:pPr>
            <w:r>
              <w:rPr>
                <w:b w:val="0"/>
                <w:bCs/>
                <w:color w:val="auto"/>
                <w:sz w:val="22"/>
                <w:szCs w:val="22"/>
                <w:highlight w:val="none"/>
              </w:rPr>
              <w:t>4</w:t>
            </w:r>
          </w:p>
        </w:tc>
        <w:tc>
          <w:tcPr>
            <w:tcW w:w="2402" w:type="dxa"/>
            <w:vAlign w:val="center"/>
          </w:tcPr>
          <w:p w14:paraId="7F034AFE">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300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1112" w:type="dxa"/>
            <w:tcBorders>
              <w:left w:val="single" w:color="auto" w:sz="4" w:space="0"/>
            </w:tcBorders>
            <w:vAlign w:val="center"/>
          </w:tcPr>
          <w:p w14:paraId="7F034AFF">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w:t>
            </w:r>
          </w:p>
        </w:tc>
        <w:tc>
          <w:tcPr>
            <w:tcW w:w="1112" w:type="dxa"/>
            <w:tcBorders>
              <w:right w:val="single" w:color="auto" w:sz="4" w:space="0"/>
            </w:tcBorders>
            <w:vAlign w:val="center"/>
          </w:tcPr>
          <w:p w14:paraId="7F034B00">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6</w:t>
            </w:r>
          </w:p>
        </w:tc>
        <w:tc>
          <w:tcPr>
            <w:tcW w:w="1112" w:type="dxa"/>
            <w:tcBorders>
              <w:left w:val="single" w:color="auto" w:sz="4" w:space="0"/>
              <w:right w:val="single" w:color="auto" w:sz="4" w:space="0"/>
            </w:tcBorders>
            <w:vAlign w:val="center"/>
          </w:tcPr>
          <w:p w14:paraId="7F034B01">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6</w:t>
            </w:r>
          </w:p>
        </w:tc>
        <w:tc>
          <w:tcPr>
            <w:tcW w:w="1112" w:type="dxa"/>
            <w:tcBorders>
              <w:left w:val="single" w:color="auto" w:sz="4" w:space="0"/>
              <w:right w:val="single" w:color="auto" w:sz="4" w:space="0"/>
            </w:tcBorders>
            <w:vAlign w:val="center"/>
          </w:tcPr>
          <w:p w14:paraId="7F034B02">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～624</w:t>
            </w:r>
          </w:p>
        </w:tc>
        <w:tc>
          <w:tcPr>
            <w:tcW w:w="1114" w:type="dxa"/>
            <w:tcBorders>
              <w:right w:val="single" w:color="auto" w:sz="4" w:space="0"/>
            </w:tcBorders>
            <w:vAlign w:val="center"/>
          </w:tcPr>
          <w:p w14:paraId="7F034B03">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2400</w:t>
            </w:r>
          </w:p>
        </w:tc>
      </w:tr>
      <w:tr w14:paraId="7F034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465" w:type="dxa"/>
            <w:vAlign w:val="center"/>
          </w:tcPr>
          <w:p w14:paraId="7F034B05">
            <w:pPr>
              <w:pStyle w:val="335"/>
              <w:spacing w:line="0" w:lineRule="atLeast"/>
              <w:jc w:val="center"/>
              <w:rPr>
                <w:b w:val="0"/>
                <w:bCs/>
                <w:color w:val="auto"/>
                <w:sz w:val="22"/>
                <w:szCs w:val="22"/>
                <w:highlight w:val="none"/>
              </w:rPr>
            </w:pPr>
            <w:r>
              <w:rPr>
                <w:b w:val="0"/>
                <w:bCs/>
                <w:color w:val="auto"/>
                <w:sz w:val="22"/>
                <w:szCs w:val="22"/>
                <w:highlight w:val="none"/>
              </w:rPr>
              <w:t>5</w:t>
            </w:r>
          </w:p>
        </w:tc>
        <w:tc>
          <w:tcPr>
            <w:tcW w:w="2402" w:type="dxa"/>
            <w:vAlign w:val="center"/>
          </w:tcPr>
          <w:p w14:paraId="7F034B06">
            <w:pPr>
              <w:pStyle w:val="335"/>
              <w:spacing w:line="0" w:lineRule="atLeast"/>
              <w:jc w:val="center"/>
              <w:rPr>
                <w:b w:val="0"/>
                <w:bCs/>
                <w:color w:val="auto"/>
                <w:sz w:val="22"/>
                <w:szCs w:val="22"/>
                <w:highlight w:val="none"/>
              </w:rPr>
            </w:pPr>
            <w:r>
              <w:rPr>
                <w:b w:val="0"/>
                <w:bCs/>
                <w:color w:val="auto"/>
                <w:sz w:val="22"/>
                <w:szCs w:val="22"/>
                <w:highlight w:val="none"/>
              </w:rPr>
              <w:t>Φ</w:t>
            </w:r>
            <w:r>
              <w:rPr>
                <w:b w:val="0"/>
                <w:bCs/>
                <w:color w:val="auto"/>
                <w:sz w:val="22"/>
                <w:szCs w:val="22"/>
                <w:highlight w:val="none"/>
                <w:lang w:eastAsia="zh-CN"/>
              </w:rPr>
              <w:t>340</w:t>
            </w:r>
            <w:r>
              <w:rPr>
                <w:rFonts w:hint="eastAsia"/>
                <w:b w:val="0"/>
                <w:bCs/>
                <w:color w:val="auto"/>
                <w:sz w:val="22"/>
                <w:szCs w:val="22"/>
                <w:highlight w:val="none"/>
                <w:lang w:eastAsia="zh-CN"/>
              </w:rPr>
              <w:t>等效圆</w:t>
            </w:r>
            <w:r>
              <w:rPr>
                <w:b w:val="0"/>
                <w:bCs/>
                <w:color w:val="auto"/>
                <w:sz w:val="22"/>
                <w:szCs w:val="22"/>
                <w:highlight w:val="none"/>
              </w:rPr>
              <w:t>×</w:t>
            </w:r>
            <w:r>
              <w:rPr>
                <w:b w:val="0"/>
                <w:bCs/>
                <w:color w:val="auto"/>
                <w:sz w:val="22"/>
                <w:szCs w:val="22"/>
                <w:highlight w:val="none"/>
                <w:lang w:eastAsia="zh-CN"/>
              </w:rPr>
              <w:t>400</w:t>
            </w:r>
          </w:p>
        </w:tc>
        <w:tc>
          <w:tcPr>
            <w:tcW w:w="1112" w:type="dxa"/>
            <w:tcBorders>
              <w:left w:val="single" w:color="auto" w:sz="4" w:space="0"/>
            </w:tcBorders>
            <w:vAlign w:val="center"/>
          </w:tcPr>
          <w:p w14:paraId="7F034B07">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1</w:t>
            </w:r>
          </w:p>
        </w:tc>
        <w:tc>
          <w:tcPr>
            <w:tcW w:w="1112" w:type="dxa"/>
            <w:tcBorders>
              <w:right w:val="single" w:color="auto" w:sz="4" w:space="0"/>
            </w:tcBorders>
            <w:vAlign w:val="center"/>
          </w:tcPr>
          <w:p w14:paraId="7F034B08">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6</w:t>
            </w:r>
          </w:p>
        </w:tc>
        <w:tc>
          <w:tcPr>
            <w:tcW w:w="1112" w:type="dxa"/>
            <w:tcBorders>
              <w:left w:val="single" w:color="auto" w:sz="4" w:space="0"/>
              <w:right w:val="single" w:color="auto" w:sz="4" w:space="0"/>
            </w:tcBorders>
            <w:vAlign w:val="center"/>
          </w:tcPr>
          <w:p w14:paraId="7F034B09">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6</w:t>
            </w:r>
          </w:p>
        </w:tc>
        <w:tc>
          <w:tcPr>
            <w:tcW w:w="1112" w:type="dxa"/>
            <w:tcBorders>
              <w:left w:val="single" w:color="auto" w:sz="4" w:space="0"/>
              <w:right w:val="single" w:color="auto" w:sz="4" w:space="0"/>
            </w:tcBorders>
            <w:vAlign w:val="center"/>
          </w:tcPr>
          <w:p w14:paraId="7F034B0A">
            <w:pPr>
              <w:pStyle w:val="335"/>
              <w:spacing w:line="0" w:lineRule="atLeast"/>
              <w:jc w:val="center"/>
              <w:rPr>
                <w:b w:val="0"/>
                <w:bCs/>
                <w:color w:val="auto"/>
                <w:sz w:val="22"/>
                <w:szCs w:val="22"/>
                <w:highlight w:val="none"/>
                <w:lang w:eastAsia="zh-CN"/>
              </w:rPr>
            </w:pPr>
            <w:r>
              <w:rPr>
                <w:rFonts w:hint="eastAsia"/>
                <w:b w:val="0"/>
                <w:bCs/>
                <w:color w:val="auto"/>
                <w:sz w:val="22"/>
                <w:szCs w:val="22"/>
                <w:highlight w:val="none"/>
                <w:lang w:eastAsia="zh-CN"/>
              </w:rPr>
              <w:t>～618</w:t>
            </w:r>
          </w:p>
        </w:tc>
        <w:tc>
          <w:tcPr>
            <w:tcW w:w="1114" w:type="dxa"/>
            <w:tcBorders>
              <w:right w:val="single" w:color="auto" w:sz="4" w:space="0"/>
            </w:tcBorders>
            <w:vAlign w:val="center"/>
          </w:tcPr>
          <w:p w14:paraId="7F034B0B">
            <w:pPr>
              <w:pStyle w:val="335"/>
              <w:spacing w:line="0" w:lineRule="atLeast"/>
              <w:jc w:val="center"/>
              <w:rPr>
                <w:b w:val="0"/>
                <w:bCs/>
                <w:color w:val="auto"/>
                <w:sz w:val="22"/>
                <w:szCs w:val="22"/>
                <w:highlight w:val="none"/>
                <w:lang w:eastAsia="zh-CN"/>
              </w:rPr>
            </w:pPr>
            <w:r>
              <w:rPr>
                <w:b w:val="0"/>
                <w:bCs/>
                <w:color w:val="auto"/>
                <w:sz w:val="22"/>
                <w:szCs w:val="22"/>
                <w:highlight w:val="none"/>
                <w:lang w:eastAsia="zh-CN"/>
              </w:rPr>
              <w:t>2400</w:t>
            </w:r>
          </w:p>
        </w:tc>
      </w:tr>
    </w:tbl>
    <w:p w14:paraId="7F034B0D">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7、设备各组成部分的功能与配置要求</w:t>
      </w:r>
    </w:p>
    <w:p w14:paraId="7F034B0E">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提供技术方案时，应同时对设备的主机、液压系统、电气系统、控制系统和其他部分的主要构件、液压或电气部件等的如材料牌号、关键制造工艺过程/方法、型号规格、品牌、数量，等信息进行说明。主动力系统采用电液伺服系统，设备选型优先选用《国家重点节能低碳技术推广目录》中的节能技术和设备。</w:t>
      </w:r>
    </w:p>
    <w:p w14:paraId="7F034B0F">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7.1 </w:t>
      </w:r>
      <w:r>
        <w:rPr>
          <w:rFonts w:hint="eastAsia" w:ascii="宋体" w:hAnsi="宋体" w:cs="宋体"/>
          <w:b w:val="0"/>
          <w:bCs/>
          <w:color w:val="auto"/>
          <w:sz w:val="24"/>
          <w:highlight w:val="none"/>
        </w:rPr>
        <w:t>上料装置，见6.1</w:t>
      </w:r>
    </w:p>
    <w:p w14:paraId="7F034B10">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7.2 </w:t>
      </w:r>
      <w:r>
        <w:rPr>
          <w:rFonts w:hint="eastAsia" w:ascii="宋体" w:hAnsi="宋体" w:cs="宋体"/>
          <w:b w:val="0"/>
          <w:bCs/>
          <w:color w:val="auto"/>
          <w:sz w:val="24"/>
          <w:highlight w:val="none"/>
        </w:rPr>
        <w:t>电极块压制系统及模具</w:t>
      </w:r>
    </w:p>
    <w:p w14:paraId="7F034B11">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7.2.1 </w:t>
      </w:r>
      <w:r>
        <w:rPr>
          <w:rFonts w:hint="eastAsia" w:ascii="宋体" w:hAnsi="宋体" w:cs="宋体"/>
          <w:b w:val="0"/>
          <w:bCs/>
          <w:color w:val="auto"/>
          <w:sz w:val="24"/>
          <w:highlight w:val="none"/>
        </w:rPr>
        <w:t>模具及其更换装置</w:t>
      </w:r>
    </w:p>
    <w:p w14:paraId="7F034B12">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乙方按照本技术要求6.2节的要求进行模具方案设计，并以与甲方确认的最终方案为准。在液压机结构功能设计时，可考虑对模具更换装置一并设计，以便在该装置的辅助下，熟练工可快速对模具进行更换和调整。</w:t>
      </w:r>
    </w:p>
    <w:p w14:paraId="7F034B13">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7.2.2 </w:t>
      </w:r>
      <w:r>
        <w:rPr>
          <w:rFonts w:hint="eastAsia" w:ascii="宋体" w:hAnsi="宋体" w:cs="宋体"/>
          <w:b w:val="0"/>
          <w:bCs/>
          <w:color w:val="auto"/>
          <w:sz w:val="24"/>
          <w:highlight w:val="none"/>
        </w:rPr>
        <w:t>电极块压制系统（液压机主机）</w:t>
      </w:r>
    </w:p>
    <w:p w14:paraId="7F034B14">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设备由主机和控制机构两部分组成。</w:t>
      </w:r>
    </w:p>
    <w:p w14:paraId="7F034B15">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主机包括：机身、检修平台、主缸、安全装置等。</w:t>
      </w:r>
    </w:p>
    <w:p w14:paraId="7F034B16">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控制机构包括液压控制及传动系统、电气控制及传动系统、润滑系统、安全防护系统、冷却系统及其它辅助部件组成。具体由乙方进行设计，并提供具体的结构、用料、工艺、参数方案，同时满足下表</w:t>
      </w:r>
      <w:r>
        <w:rPr>
          <w:rFonts w:ascii="宋体" w:hAnsi="宋体" w:cs="宋体"/>
          <w:b w:val="0"/>
          <w:bCs/>
          <w:color w:val="auto"/>
          <w:sz w:val="24"/>
          <w:highlight w:val="none"/>
        </w:rPr>
        <w:t>3</w:t>
      </w:r>
      <w:r>
        <w:rPr>
          <w:rFonts w:hint="eastAsia" w:ascii="宋体" w:hAnsi="宋体" w:cs="宋体"/>
          <w:b w:val="0"/>
          <w:bCs/>
          <w:color w:val="auto"/>
          <w:sz w:val="24"/>
          <w:highlight w:val="none"/>
        </w:rPr>
        <w:t>补充要求。</w:t>
      </w:r>
    </w:p>
    <w:p w14:paraId="7F034B17">
      <w:pPr>
        <w:spacing w:line="460" w:lineRule="exact"/>
        <w:jc w:val="center"/>
        <w:rPr>
          <w:rFonts w:ascii="宋体" w:hAnsi="宋体" w:cs="宋体"/>
          <w:b w:val="0"/>
          <w:bCs/>
          <w:color w:val="auto"/>
          <w:sz w:val="24"/>
          <w:highlight w:val="none"/>
        </w:rPr>
      </w:pPr>
      <w:r>
        <w:rPr>
          <w:rFonts w:hint="eastAsia" w:ascii="宋体" w:hAnsi="宋体" w:cs="宋体"/>
          <w:b w:val="0"/>
          <w:bCs/>
          <w:color w:val="auto"/>
          <w:sz w:val="24"/>
          <w:highlight w:val="none"/>
        </w:rPr>
        <w:t>表3  液压机主机补充要求</w:t>
      </w:r>
    </w:p>
    <w:tbl>
      <w:tblPr>
        <w:tblStyle w:val="46"/>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7634"/>
        <w:gridCol w:w="1191"/>
      </w:tblGrid>
      <w:tr w14:paraId="7F03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3" w:type="dxa"/>
            <w:vAlign w:val="center"/>
          </w:tcPr>
          <w:p w14:paraId="7F034B18">
            <w:pPr>
              <w:jc w:val="center"/>
              <w:rPr>
                <w:rFonts w:ascii="宋体" w:hAnsi="宋体" w:cs="宋体"/>
                <w:b w:val="0"/>
                <w:bCs/>
                <w:color w:val="auto"/>
                <w:sz w:val="22"/>
                <w:highlight w:val="none"/>
              </w:rPr>
            </w:pPr>
            <w:r>
              <w:rPr>
                <w:rFonts w:hint="eastAsia" w:ascii="宋体" w:hAnsi="宋体" w:cs="宋体"/>
                <w:b w:val="0"/>
                <w:bCs/>
                <w:color w:val="auto"/>
                <w:sz w:val="22"/>
                <w:highlight w:val="none"/>
              </w:rPr>
              <w:t>序号</w:t>
            </w:r>
          </w:p>
        </w:tc>
        <w:tc>
          <w:tcPr>
            <w:tcW w:w="7634" w:type="dxa"/>
            <w:vAlign w:val="center"/>
          </w:tcPr>
          <w:p w14:paraId="7F034B19">
            <w:pPr>
              <w:jc w:val="center"/>
              <w:rPr>
                <w:rFonts w:ascii="宋体" w:hAnsi="宋体" w:cs="宋体"/>
                <w:b w:val="0"/>
                <w:bCs/>
                <w:color w:val="auto"/>
                <w:sz w:val="22"/>
                <w:highlight w:val="none"/>
              </w:rPr>
            </w:pPr>
            <w:r>
              <w:rPr>
                <w:rFonts w:hint="eastAsia" w:ascii="宋体" w:hAnsi="宋体" w:cs="宋体"/>
                <w:b w:val="0"/>
                <w:bCs/>
                <w:color w:val="auto"/>
                <w:sz w:val="22"/>
                <w:highlight w:val="none"/>
              </w:rPr>
              <w:t>技术要求</w:t>
            </w:r>
          </w:p>
        </w:tc>
        <w:tc>
          <w:tcPr>
            <w:tcW w:w="1191" w:type="dxa"/>
            <w:vAlign w:val="center"/>
          </w:tcPr>
          <w:p w14:paraId="7F034B1A">
            <w:pPr>
              <w:jc w:val="center"/>
              <w:rPr>
                <w:rFonts w:ascii="宋体" w:hAnsi="宋体" w:cs="宋体"/>
                <w:b w:val="0"/>
                <w:bCs/>
                <w:color w:val="auto"/>
                <w:sz w:val="22"/>
                <w:highlight w:val="none"/>
              </w:rPr>
            </w:pPr>
            <w:r>
              <w:rPr>
                <w:rFonts w:hint="eastAsia" w:ascii="宋体" w:hAnsi="宋体" w:cs="宋体"/>
                <w:b w:val="0"/>
                <w:bCs/>
                <w:color w:val="auto"/>
                <w:sz w:val="22"/>
                <w:highlight w:val="none"/>
              </w:rPr>
              <w:t>备注</w:t>
            </w:r>
          </w:p>
        </w:tc>
      </w:tr>
      <w:tr w14:paraId="7F03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3" w:type="dxa"/>
            <w:vAlign w:val="center"/>
          </w:tcPr>
          <w:p w14:paraId="7F034B1C">
            <w:pPr>
              <w:jc w:val="center"/>
              <w:rPr>
                <w:rFonts w:ascii="宋体" w:hAnsi="宋体" w:cs="宋体"/>
                <w:b w:val="0"/>
                <w:bCs/>
                <w:color w:val="auto"/>
                <w:sz w:val="22"/>
                <w:highlight w:val="none"/>
              </w:rPr>
            </w:pPr>
            <w:r>
              <w:rPr>
                <w:rFonts w:ascii="宋体" w:hAnsi="宋体" w:cs="宋体"/>
                <w:b w:val="0"/>
                <w:bCs/>
                <w:color w:val="auto"/>
                <w:sz w:val="22"/>
                <w:highlight w:val="none"/>
              </w:rPr>
              <w:t>1</w:t>
            </w:r>
          </w:p>
        </w:tc>
        <w:tc>
          <w:tcPr>
            <w:tcW w:w="7634" w:type="dxa"/>
            <w:vAlign w:val="center"/>
          </w:tcPr>
          <w:p w14:paraId="7F034B1D">
            <w:pPr>
              <w:rPr>
                <w:rFonts w:ascii="宋体" w:hAnsi="宋体" w:cs="宋体"/>
                <w:b w:val="0"/>
                <w:bCs/>
                <w:color w:val="auto"/>
                <w:sz w:val="22"/>
                <w:highlight w:val="none"/>
              </w:rPr>
            </w:pPr>
            <w:r>
              <w:rPr>
                <w:rFonts w:hint="eastAsia" w:ascii="宋体" w:hAnsi="宋体" w:cs="宋体"/>
                <w:b w:val="0"/>
                <w:bCs/>
                <w:color w:val="auto"/>
                <w:sz w:val="22"/>
                <w:highlight w:val="none"/>
              </w:rPr>
              <w:t>保压时间：0～600秒（连续可调）</w:t>
            </w:r>
          </w:p>
        </w:tc>
        <w:tc>
          <w:tcPr>
            <w:tcW w:w="1191" w:type="dxa"/>
            <w:vMerge w:val="restart"/>
            <w:vAlign w:val="center"/>
          </w:tcPr>
          <w:p w14:paraId="7F034B1E">
            <w:pPr>
              <w:rPr>
                <w:rFonts w:ascii="宋体" w:hAnsi="宋体" w:cs="宋体"/>
                <w:b w:val="0"/>
                <w:bCs/>
                <w:color w:val="auto"/>
                <w:sz w:val="22"/>
                <w:highlight w:val="none"/>
              </w:rPr>
            </w:pPr>
            <w:r>
              <w:rPr>
                <w:rFonts w:hint="eastAsia" w:ascii="宋体" w:hAnsi="宋体" w:cs="宋体"/>
                <w:b w:val="0"/>
                <w:bCs/>
                <w:color w:val="auto"/>
                <w:sz w:val="22"/>
                <w:highlight w:val="none"/>
              </w:rPr>
              <w:t>请乙方在设备技术方案中说明。</w:t>
            </w:r>
          </w:p>
        </w:tc>
      </w:tr>
      <w:tr w14:paraId="7F03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3" w:type="dxa"/>
            <w:vAlign w:val="center"/>
          </w:tcPr>
          <w:p w14:paraId="7F034B20">
            <w:pPr>
              <w:jc w:val="center"/>
              <w:rPr>
                <w:rFonts w:ascii="宋体" w:hAnsi="宋体" w:cs="宋体"/>
                <w:b w:val="0"/>
                <w:bCs/>
                <w:color w:val="auto"/>
                <w:sz w:val="22"/>
                <w:highlight w:val="none"/>
              </w:rPr>
            </w:pPr>
            <w:r>
              <w:rPr>
                <w:rFonts w:ascii="宋体" w:hAnsi="宋体" w:cs="宋体"/>
                <w:b w:val="0"/>
                <w:bCs/>
                <w:color w:val="auto"/>
                <w:sz w:val="22"/>
                <w:highlight w:val="none"/>
              </w:rPr>
              <w:t>2</w:t>
            </w:r>
          </w:p>
        </w:tc>
        <w:tc>
          <w:tcPr>
            <w:tcW w:w="7634" w:type="dxa"/>
            <w:vAlign w:val="center"/>
          </w:tcPr>
          <w:p w14:paraId="7F034B21">
            <w:pPr>
              <w:rPr>
                <w:rFonts w:ascii="宋体" w:hAnsi="宋体" w:cs="宋体"/>
                <w:b w:val="0"/>
                <w:bCs/>
                <w:color w:val="auto"/>
                <w:sz w:val="22"/>
                <w:highlight w:val="none"/>
              </w:rPr>
            </w:pPr>
            <w:r>
              <w:rPr>
                <w:rFonts w:hint="eastAsia" w:ascii="宋体" w:hAnsi="宋体" w:cs="宋体"/>
                <w:b w:val="0"/>
                <w:bCs/>
                <w:color w:val="auto"/>
                <w:sz w:val="22"/>
                <w:highlight w:val="none"/>
              </w:rPr>
              <w:t>压机效率：≥12块/小时</w:t>
            </w:r>
          </w:p>
        </w:tc>
        <w:tc>
          <w:tcPr>
            <w:tcW w:w="1191" w:type="dxa"/>
            <w:vMerge w:val="continue"/>
            <w:vAlign w:val="center"/>
          </w:tcPr>
          <w:p w14:paraId="7F034B22">
            <w:pPr>
              <w:rPr>
                <w:rFonts w:ascii="宋体" w:hAnsi="宋体" w:cs="宋体"/>
                <w:b w:val="0"/>
                <w:bCs/>
                <w:color w:val="auto"/>
                <w:sz w:val="22"/>
                <w:highlight w:val="none"/>
              </w:rPr>
            </w:pPr>
          </w:p>
        </w:tc>
      </w:tr>
      <w:tr w14:paraId="7F034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3" w:type="dxa"/>
            <w:vAlign w:val="center"/>
          </w:tcPr>
          <w:p w14:paraId="7F034B24">
            <w:pPr>
              <w:jc w:val="center"/>
              <w:rPr>
                <w:rFonts w:ascii="宋体" w:hAnsi="宋体" w:cs="宋体"/>
                <w:b w:val="0"/>
                <w:bCs/>
                <w:color w:val="auto"/>
                <w:sz w:val="22"/>
                <w:highlight w:val="none"/>
              </w:rPr>
            </w:pPr>
            <w:r>
              <w:rPr>
                <w:rFonts w:ascii="宋体" w:hAnsi="宋体" w:cs="宋体"/>
                <w:b w:val="0"/>
                <w:bCs/>
                <w:color w:val="auto"/>
                <w:sz w:val="22"/>
                <w:highlight w:val="none"/>
              </w:rPr>
              <w:t>3</w:t>
            </w:r>
          </w:p>
        </w:tc>
        <w:tc>
          <w:tcPr>
            <w:tcW w:w="7634" w:type="dxa"/>
            <w:vAlign w:val="center"/>
          </w:tcPr>
          <w:p w14:paraId="7F034B25">
            <w:pPr>
              <w:rPr>
                <w:rFonts w:ascii="宋体" w:hAnsi="宋体" w:cs="宋体"/>
                <w:b w:val="0"/>
                <w:bCs/>
                <w:color w:val="auto"/>
                <w:highlight w:val="none"/>
              </w:rPr>
            </w:pPr>
            <w:r>
              <w:rPr>
                <w:rFonts w:hint="eastAsia" w:ascii="宋体" w:hAnsi="宋体" w:cs="宋体"/>
                <w:b w:val="0"/>
                <w:bCs/>
                <w:color w:val="auto"/>
                <w:sz w:val="22"/>
                <w:highlight w:val="none"/>
              </w:rPr>
              <w:t>乙方应全力配合甲方进行数据采集、集控以及产线自动化、数字化改造的相关工作，包括但不限于免费开放寄存器地址寄数据类型等。（要求见附件1“数据信息化软/硬件配套技术要求”）</w:t>
            </w:r>
          </w:p>
        </w:tc>
        <w:tc>
          <w:tcPr>
            <w:tcW w:w="1191" w:type="dxa"/>
            <w:vMerge w:val="continue"/>
            <w:vAlign w:val="center"/>
          </w:tcPr>
          <w:p w14:paraId="7F034B26">
            <w:pPr>
              <w:jc w:val="center"/>
              <w:rPr>
                <w:rFonts w:ascii="宋体" w:hAnsi="宋体" w:cs="宋体"/>
                <w:b w:val="0"/>
                <w:bCs/>
                <w:color w:val="auto"/>
                <w:sz w:val="22"/>
                <w:highlight w:val="none"/>
              </w:rPr>
            </w:pPr>
          </w:p>
        </w:tc>
      </w:tr>
      <w:tr w14:paraId="7F03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13" w:type="dxa"/>
            <w:vAlign w:val="center"/>
          </w:tcPr>
          <w:p w14:paraId="7F034B28">
            <w:pPr>
              <w:jc w:val="center"/>
              <w:rPr>
                <w:rFonts w:ascii="宋体" w:hAnsi="宋体" w:cs="宋体"/>
                <w:b w:val="0"/>
                <w:bCs/>
                <w:color w:val="auto"/>
                <w:sz w:val="22"/>
                <w:highlight w:val="none"/>
              </w:rPr>
            </w:pPr>
            <w:r>
              <w:rPr>
                <w:rFonts w:ascii="宋体" w:hAnsi="宋体" w:cs="宋体"/>
                <w:b w:val="0"/>
                <w:bCs/>
                <w:color w:val="auto"/>
                <w:sz w:val="22"/>
                <w:highlight w:val="none"/>
              </w:rPr>
              <w:t>4</w:t>
            </w:r>
          </w:p>
        </w:tc>
        <w:tc>
          <w:tcPr>
            <w:tcW w:w="7634" w:type="dxa"/>
            <w:vAlign w:val="center"/>
          </w:tcPr>
          <w:p w14:paraId="7F034B29">
            <w:pPr>
              <w:rPr>
                <w:rFonts w:ascii="宋体" w:hAnsi="宋体" w:cs="宋体"/>
                <w:b w:val="0"/>
                <w:bCs/>
                <w:color w:val="auto"/>
                <w:sz w:val="22"/>
                <w:highlight w:val="none"/>
              </w:rPr>
            </w:pPr>
            <w:r>
              <w:rPr>
                <w:rFonts w:hint="eastAsia" w:ascii="宋体" w:hAnsi="宋体" w:cs="宋体"/>
                <w:b w:val="0"/>
                <w:bCs/>
                <w:color w:val="auto"/>
                <w:sz w:val="22"/>
                <w:highlight w:val="none"/>
              </w:rPr>
              <w:t>工艺参数及质量记录数据管理：设定、保存、调用、修改、权限。</w:t>
            </w:r>
          </w:p>
        </w:tc>
        <w:tc>
          <w:tcPr>
            <w:tcW w:w="1191" w:type="dxa"/>
            <w:vMerge w:val="continue"/>
            <w:vAlign w:val="center"/>
          </w:tcPr>
          <w:p w14:paraId="7F034B2A">
            <w:pPr>
              <w:jc w:val="center"/>
              <w:rPr>
                <w:rFonts w:ascii="宋体" w:hAnsi="宋体" w:cs="宋体"/>
                <w:b w:val="0"/>
                <w:bCs/>
                <w:color w:val="auto"/>
                <w:sz w:val="22"/>
                <w:highlight w:val="none"/>
              </w:rPr>
            </w:pPr>
          </w:p>
        </w:tc>
      </w:tr>
    </w:tbl>
    <w:p w14:paraId="7F034B2C">
      <w:pPr>
        <w:spacing w:line="460" w:lineRule="exact"/>
        <w:rPr>
          <w:rFonts w:ascii="宋体" w:hAnsi="宋体" w:cs="宋体"/>
          <w:b w:val="0"/>
          <w:bCs/>
          <w:color w:val="auto"/>
          <w:sz w:val="24"/>
          <w:highlight w:val="none"/>
        </w:rPr>
      </w:pPr>
      <w:r>
        <w:rPr>
          <w:rFonts w:ascii="宋体" w:hAnsi="宋体" w:cs="宋体"/>
          <w:b w:val="0"/>
          <w:bCs/>
          <w:color w:val="auto"/>
          <w:sz w:val="24"/>
          <w:highlight w:val="none"/>
        </w:rPr>
        <w:t xml:space="preserve">7.3 </w:t>
      </w:r>
      <w:r>
        <w:rPr>
          <w:rFonts w:hint="eastAsia" w:ascii="宋体" w:hAnsi="宋体" w:cs="宋体"/>
          <w:b w:val="0"/>
          <w:bCs/>
          <w:color w:val="auto"/>
          <w:sz w:val="24"/>
          <w:highlight w:val="none"/>
        </w:rPr>
        <w:t>电极块码垛系统</w:t>
      </w:r>
    </w:p>
    <w:p w14:paraId="7F034B2D">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由乙方提供设计方案。</w:t>
      </w:r>
    </w:p>
    <w:p w14:paraId="7F034B2E">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电极块码垛系统即可以与电极块压制系统联动，实现自动作业；也可以实现单独运行，和动作点动控制。</w:t>
      </w:r>
    </w:p>
    <w:p w14:paraId="7F034B2F">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所有与电极块直接接触的设备部件，均采用不锈钢材质，且焊接时不得使用钨极氩弧焊。</w:t>
      </w:r>
    </w:p>
    <w:p w14:paraId="7F034B30">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称重系统选用的仪器应具备良好的稳定性。（进口，梅特勒-托利多）</w:t>
      </w:r>
    </w:p>
    <w:p w14:paraId="7F034B31">
      <w:pPr>
        <w:spacing w:line="46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应配置废料渣收集盘，可将电极块转运过程中掉落的废料渣进行有效收集，由人工定期将收集盘中的废料进行清理。</w:t>
      </w:r>
    </w:p>
    <w:p w14:paraId="7F034B32">
      <w:pPr>
        <w:spacing w:line="460" w:lineRule="exact"/>
        <w:rPr>
          <w:rFonts w:ascii="宋体" w:hAnsi="宋体" w:cs="宋体"/>
          <w:b w:val="0"/>
          <w:bCs/>
          <w:color w:val="auto"/>
          <w:sz w:val="24"/>
          <w:highlight w:val="none"/>
        </w:rPr>
      </w:pPr>
      <w:r>
        <w:rPr>
          <w:rFonts w:hint="eastAsia" w:ascii="宋体" w:hAnsi="宋体" w:cs="宋体"/>
          <w:b w:val="0"/>
          <w:bCs/>
          <w:color w:val="auto"/>
          <w:sz w:val="24"/>
          <w:highlight w:val="none"/>
        </w:rPr>
        <w:t>8、设计、制造、安装、调试、验收</w:t>
      </w:r>
    </w:p>
    <w:p w14:paraId="7F034B33">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8.1技术资料的提供</w:t>
      </w:r>
    </w:p>
    <w:p w14:paraId="7F034B34">
      <w:pPr>
        <w:spacing w:line="500" w:lineRule="exact"/>
        <w:ind w:firstLine="480" w:firstLineChars="200"/>
        <w:rPr>
          <w:rFonts w:ascii="宋体" w:hAnsi="宋体" w:cs="宋体"/>
          <w:b w:val="0"/>
          <w:bCs/>
          <w:color w:val="auto"/>
          <w:kern w:val="0"/>
          <w:sz w:val="24"/>
          <w:highlight w:val="none"/>
        </w:rPr>
      </w:pPr>
      <w:r>
        <w:rPr>
          <w:rFonts w:hint="eastAsia" w:ascii="宋体" w:hAnsi="宋体" w:cs="宋体"/>
          <w:b w:val="0"/>
          <w:bCs/>
          <w:color w:val="auto"/>
          <w:kern w:val="0"/>
          <w:sz w:val="24"/>
          <w:highlight w:val="none"/>
        </w:rPr>
        <w:t>乙方进行具体细节设计过程中，甲方全程参与并依据具体工艺情况向中标单位提供设计参考；设计完成部件制造之前，甲方需对所有图纸进行核准；制造、安装过程中，甲方有权对整个过程进行全程监控（查阅与产品相关的各种技术文件、资料、图纸等）。</w:t>
      </w:r>
    </w:p>
    <w:p w14:paraId="7F034B35">
      <w:pPr>
        <w:spacing w:line="500" w:lineRule="exact"/>
        <w:ind w:firstLine="480" w:firstLineChars="200"/>
        <w:rPr>
          <w:rFonts w:ascii="宋体" w:hAnsi="宋体" w:cs="宋体"/>
          <w:b w:val="0"/>
          <w:bCs/>
          <w:color w:val="auto"/>
          <w:kern w:val="0"/>
          <w:sz w:val="24"/>
          <w:highlight w:val="none"/>
        </w:rPr>
      </w:pPr>
      <w:r>
        <w:rPr>
          <w:rFonts w:ascii="宋体" w:hAnsi="宋体" w:cs="宋体"/>
          <w:b w:val="0"/>
          <w:bCs/>
          <w:color w:val="auto"/>
          <w:kern w:val="0"/>
          <w:sz w:val="24"/>
          <w:highlight w:val="none"/>
        </w:rPr>
        <w:drawing>
          <wp:anchor distT="0" distB="0" distL="114300" distR="114300" simplePos="0" relativeHeight="251673600" behindDoc="1" locked="0" layoutInCell="0" allowOverlap="1">
            <wp:simplePos x="0" y="0"/>
            <wp:positionH relativeFrom="page">
              <wp:posOffset>945515</wp:posOffset>
            </wp:positionH>
            <wp:positionV relativeFrom="page">
              <wp:posOffset>889000</wp:posOffset>
            </wp:positionV>
            <wp:extent cx="63500" cy="1339850"/>
            <wp:effectExtent l="0" t="0" r="12700" b="1270"/>
            <wp:wrapNone/>
            <wp:docPr id="11" name="IM 20"/>
            <wp:cNvGraphicFramePr/>
            <a:graphic xmlns:a="http://schemas.openxmlformats.org/drawingml/2006/main">
              <a:graphicData uri="http://schemas.openxmlformats.org/drawingml/2006/picture">
                <pic:pic xmlns:pic="http://schemas.openxmlformats.org/drawingml/2006/picture">
                  <pic:nvPicPr>
                    <pic:cNvPr id="11" name="IM 20"/>
                    <pic:cNvPicPr/>
                  </pic:nvPicPr>
                  <pic:blipFill>
                    <a:blip r:embed="rId23"/>
                    <a:stretch>
                      <a:fillRect/>
                    </a:stretch>
                  </pic:blipFill>
                  <pic:spPr>
                    <a:xfrm>
                      <a:off x="0" y="0"/>
                      <a:ext cx="63500" cy="1339850"/>
                    </a:xfrm>
                    <a:prstGeom prst="rect">
                      <a:avLst/>
                    </a:prstGeom>
                    <a:noFill/>
                    <a:ln>
                      <a:noFill/>
                    </a:ln>
                  </pic:spPr>
                </pic:pic>
              </a:graphicData>
            </a:graphic>
          </wp:anchor>
        </w:drawing>
      </w:r>
      <w:r>
        <w:rPr>
          <w:rFonts w:hint="eastAsia" w:ascii="宋体" w:hAnsi="宋体" w:cs="宋体"/>
          <w:b w:val="0"/>
          <w:bCs/>
          <w:color w:val="auto"/>
          <w:kern w:val="0"/>
          <w:sz w:val="24"/>
          <w:highlight w:val="none"/>
        </w:rPr>
        <w:t>产品设计、安装、调试、验收过程中，乙方须逐步向甲方提交电极压制机组的完整地基土建条件图纸及技术要求、完整机械部件图纸，完整液压、电控系统图纸，电控元器件质量证明文件及使用说明，液压元器件、气动元器件质量证明文件及使用说明，大中型构件材质及检测证明书、成套设备使用说明书、成套设备合格证明，以及包含技术规格、品牌、供货商的易损易耗件清单等。</w:t>
      </w:r>
    </w:p>
    <w:p w14:paraId="7F034B36">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向甲方提供的技术文件（包括图纸、资料等文件）均是原件，提供3套纸质文件和1套对应的电子文件。包括：设备全套部件图（3套）、模具图（3套），用于订货或制造的易损件和备件零件图（3套）；电气控制原理图、接线端子图等（3套）、计算机软件备份、人机界面和PLC程序备份；设备操作和维护手册（3套）；外购元（部）件应提供合格证、使用说明书等原件（1套）。</w:t>
      </w:r>
    </w:p>
    <w:p w14:paraId="7F034B37">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8.2 项目的制造、交付、安装、调试</w:t>
      </w:r>
    </w:p>
    <w:p w14:paraId="7F034B38">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须向甲方提交详尽完整的交付计划，以确保所有设备系统接口在发货前将进行仔细测试。在装运之前应对硬件之间的连接，PLC的功能及计算机的软件进行检测以确保其正确性。在保证可靠性的前提下，液压、电器组件可在乙方处预先完成安装，这样在甲方安装现场只需将主要的终端互连即可，具体做法按甲乙双方确定的方式进行。</w:t>
      </w:r>
    </w:p>
    <w:p w14:paraId="7F034B39">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1）乙方负责设备的就位、安装与调试，并将派出有经验的技术及安装人员到甲方现场负责设备安装并参加调试。乙方在安装调试期间提供润滑点、润滑周期、润滑方式、润滑脂或油用量及介质类型与要求，保证系统各设备润滑点的润滑。</w:t>
      </w:r>
    </w:p>
    <w:p w14:paraId="7F034B3A">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（2）在货物到达甲方现场后，乙方按甲方通知时间派技术人员到甲方的生产现场，在双方人员在场的情况下开箱清点货物，组织安装、调试，直至设备正常运行经试生产并按合同规定进行考核验收测试合格。</w:t>
      </w:r>
    </w:p>
    <w:p w14:paraId="7F034B3B">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（3）在安装过程中，甲方派专人进行质量检验和监督。</w:t>
      </w:r>
    </w:p>
    <w:p w14:paraId="7F034B3C">
      <w:pPr>
        <w:spacing w:line="500" w:lineRule="exact"/>
        <w:ind w:firstLine="520" w:firstLineChars="200"/>
        <w:rPr>
          <w:rFonts w:ascii="宋体" w:hAnsi="宋体" w:cs="宋体"/>
          <w:b w:val="0"/>
          <w:bCs/>
          <w:color w:val="auto"/>
          <w:sz w:val="24"/>
          <w:highlight w:val="none"/>
        </w:rPr>
      </w:pPr>
      <w:r>
        <w:rPr>
          <w:rFonts w:hint="eastAsia" w:ascii="宋体" w:hAnsi="宋体" w:cs="宋体"/>
          <w:b w:val="0"/>
          <w:bCs/>
          <w:color w:val="auto"/>
          <w:spacing w:val="10"/>
          <w:sz w:val="24"/>
          <w:highlight w:val="none"/>
        </w:rPr>
        <w:t>各仪器仪表由甲方进行计量检定，当出现计量不符合要求时，由乙方负责更换仪器仪表，甲方对更换后仪器仪表再次计量检定的费用，由乙方承担。</w:t>
      </w:r>
    </w:p>
    <w:p w14:paraId="7F034B3D">
      <w:pPr>
        <w:spacing w:line="500" w:lineRule="exact"/>
        <w:ind w:firstLine="520" w:firstLineChars="200"/>
        <w:rPr>
          <w:rFonts w:ascii="宋体" w:hAnsi="宋体" w:cs="宋体"/>
          <w:b w:val="0"/>
          <w:bCs/>
          <w:color w:val="auto"/>
          <w:spacing w:val="10"/>
          <w:sz w:val="24"/>
          <w:highlight w:val="none"/>
        </w:rPr>
      </w:pPr>
      <w:r>
        <w:rPr>
          <w:rFonts w:hint="eastAsia" w:ascii="宋体" w:hAnsi="宋体" w:cs="宋体"/>
          <w:b w:val="0"/>
          <w:bCs/>
          <w:color w:val="auto"/>
          <w:spacing w:val="10"/>
          <w:sz w:val="24"/>
          <w:highlight w:val="none"/>
        </w:rPr>
        <w:t>乙方需向甲方提供主要件的检验报告（包括但不限于上、下横梁、立柱、缸体、柱塞、模具等）。</w:t>
      </w:r>
    </w:p>
    <w:p w14:paraId="7F034B3E">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7.4 项目的验收</w:t>
      </w:r>
    </w:p>
    <w:p w14:paraId="7F034B3F">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验收分为预验收和终验收，验收标准按本协议及其相关标准，终验收按甲方提供的试件进行验收。设备制造过程中，甲方可以随时到乙方及其供方加工场地，对设备制造过程进行监督。</w:t>
      </w:r>
    </w:p>
    <w:p w14:paraId="7F034B40">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1）预验收：设备出厂前，由乙方进行安装调试并进行产品模拟预压制动作及操作系统的动作模拟调试。设备制造完成具备单机运转条件后，提前通知甲方派员到现场按技术规格书的要求（如有变更需双方共同签署备忘）逐项验收，包括设备外观质量、动作检查、空运转试验及精度检验；能够进行组装调试的设备进行空运转测试，对无法进行组装调试的设备进行部件静态验收，乙方方出具出厂检验报告；预验收合格后双方代表签订纪要并将问题项整改完成后发货。</w:t>
      </w:r>
    </w:p>
    <w:p w14:paraId="7F034B41">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2）终验收：当设备到达甲方现场，甲方通知乙方。乙方负责就位安装调试，甲方配合，并由甲乙双方按照合同附件技术协议的相关条款以及国家或行业的有关标准对设备进行验收。进行各个性能指标测试和考核试验。终验收在甲方生产现场，并在设备安装调试好并试车完成</w:t>
      </w:r>
      <w:r>
        <w:rPr>
          <w:rFonts w:ascii="宋体" w:hAnsi="宋体" w:cs="宋体"/>
          <w:b w:val="0"/>
          <w:bCs/>
          <w:color w:val="auto"/>
          <w:sz w:val="24"/>
          <w:highlight w:val="none"/>
        </w:rPr>
        <w:t>3</w:t>
      </w:r>
      <w:r>
        <w:rPr>
          <w:rFonts w:hint="eastAsia" w:ascii="宋体" w:hAnsi="宋体" w:cs="宋体"/>
          <w:b w:val="0"/>
          <w:bCs/>
          <w:color w:val="auto"/>
          <w:sz w:val="24"/>
          <w:highlight w:val="none"/>
        </w:rPr>
        <w:t>套模具各5支的电极生产后进行（具体由甲乙双方根据实际情况友好协商确定），终验收完成后，双方签署终验收单，设备进入质保期。</w:t>
      </w:r>
    </w:p>
    <w:p w14:paraId="7F034B42">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7.5 技术培训及技术服务</w:t>
      </w:r>
    </w:p>
    <w:p w14:paraId="7F034B43">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乙方应向甲方提供安装指导、冷试车、热试车以及相关的维修、操作培训。</w:t>
      </w:r>
    </w:p>
    <w:p w14:paraId="7F034B44">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1）乙方的技术服务范围包括从机组的设计至验收、技术培训及试生产技术服务，并长期进行设备售后服务，包括协助甲方对土建施工图设计的全面技术交底和设计评审及向土建施工单位进行技术交底、必要时派人员到土建施工现场进行技术指导；负责设备安装调试直至机组运行正常后的所有技术指标符合性测试与验证。</w:t>
      </w:r>
    </w:p>
    <w:p w14:paraId="7F034B45">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（2）乙方负责对甲方技术人员、维修人员、操作人员进行现场免费培训，培训内容包括基础知识理论、设备操作、设备维护及设备故障排除和维修办法等。</w:t>
      </w:r>
    </w:p>
    <w:p w14:paraId="7F034B46">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8、质量保证与售后服务</w:t>
      </w:r>
    </w:p>
    <w:p w14:paraId="7F034B47">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乙方设备从设计、制造、安装、调试至交付验收均按照质量和环境管理体系程序执行，并且承担全部责任，在全过程中充分听取甲方意见，接受甲方监督。</w:t>
      </w:r>
    </w:p>
    <w:p w14:paraId="7F034B48">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乙方保证在设备制造过程中所采用的是合格的材料和先进的制造工艺，并在各个方面符合合同规定的质量、规格和性能的要求。</w:t>
      </w:r>
    </w:p>
    <w:p w14:paraId="7F034B49">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自验收调试合格书签署第二日起算质保期，质保期为</w:t>
      </w:r>
      <w:r>
        <w:rPr>
          <w:rFonts w:ascii="宋体" w:hAnsi="宋体" w:cs="宋体"/>
          <w:b w:val="0"/>
          <w:bCs/>
          <w:color w:val="auto"/>
          <w:sz w:val="24"/>
          <w:highlight w:val="none"/>
        </w:rPr>
        <w:t>1</w:t>
      </w:r>
      <w:r>
        <w:rPr>
          <w:rFonts w:hint="eastAsia" w:ascii="宋体" w:hAnsi="宋体" w:cs="宋体"/>
          <w:b w:val="0"/>
          <w:bCs/>
          <w:color w:val="auto"/>
          <w:sz w:val="24"/>
          <w:highlight w:val="none"/>
        </w:rPr>
        <w:t>年。在规定的质量保证期内，在甲方正常使用条件下，乙方应对由于设计、工艺、制造、安装及材料的缺陷而造成的任何缺陷或故障负责。出现上述情况，乙方应该2小时内给予响应并与</w:t>
      </w:r>
      <w:r>
        <w:rPr>
          <w:rFonts w:hint="eastAsia" w:ascii="宋体" w:hAnsi="宋体" w:cs="宋体"/>
          <w:b w:val="0"/>
          <w:bCs/>
          <w:color w:val="auto"/>
          <w:sz w:val="24"/>
          <w:highlight w:val="none"/>
          <w:lang w:val="en-US" w:eastAsia="zh-CN"/>
        </w:rPr>
        <w:t>48</w:t>
      </w:r>
      <w:r>
        <w:rPr>
          <w:rFonts w:hint="eastAsia" w:ascii="宋体" w:hAnsi="宋体" w:cs="宋体"/>
          <w:b w:val="0"/>
          <w:bCs/>
          <w:color w:val="auto"/>
          <w:sz w:val="24"/>
          <w:highlight w:val="none"/>
        </w:rPr>
        <w:t>小时内到达现场，免费负责修理和更换故障零部件并做到故障不排除人员不撤离。对造成的损失，甲方有索赔的权利。</w:t>
      </w:r>
    </w:p>
    <w:p w14:paraId="7F034B4A">
      <w:pPr>
        <w:spacing w:line="50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因乙方设计、制造不合理造成设备现场无法安装、无法使用等情况，责任由乙方负责，由此发生的费用由乙方支付。</w:t>
      </w:r>
    </w:p>
    <w:p w14:paraId="7F034B4B">
      <w:pPr>
        <w:spacing w:line="500" w:lineRule="exact"/>
        <w:ind w:firstLine="480" w:firstLineChars="200"/>
        <w:rPr>
          <w:rFonts w:ascii="宋体" w:hAnsi="宋体" w:cs="宋体"/>
          <w:b w:val="0"/>
          <w:bCs/>
          <w:color w:val="auto"/>
          <w:sz w:val="24"/>
          <w:highlight w:val="none"/>
          <w:u w:val="double"/>
        </w:rPr>
        <w:sectPr>
          <w:headerReference r:id="rId13" w:type="default"/>
          <w:footerReference r:id="rId14" w:type="default"/>
          <w:pgSz w:w="11906" w:h="16838"/>
          <w:pgMar w:top="1440" w:right="1080" w:bottom="1440" w:left="1080" w:header="850" w:footer="850" w:gutter="0"/>
          <w:cols w:space="720" w:num="1"/>
          <w:docGrid w:type="lines" w:linePitch="312" w:charSpace="0"/>
        </w:sectPr>
      </w:pPr>
      <w:r>
        <w:rPr>
          <w:rFonts w:hint="eastAsia" w:ascii="宋体" w:hAnsi="宋体" w:cs="宋体"/>
          <w:b w:val="0"/>
          <w:bCs/>
          <w:color w:val="auto"/>
          <w:sz w:val="24"/>
          <w:highlight w:val="none"/>
        </w:rPr>
        <w:t>保修期满后乙方仍提供以上服务和技术支持，并及时、长期以成本价提供机组的各种备品、备件。</w:t>
      </w:r>
      <w:r>
        <w:rPr>
          <w:rFonts w:hint="eastAsia" w:ascii="宋体" w:hAnsi="宋体" w:cs="宋体"/>
          <w:b w:val="0"/>
          <w:bCs/>
          <w:color w:val="auto"/>
          <w:sz w:val="24"/>
          <w:highlight w:val="none"/>
          <w:u w:val="double"/>
        </w:rPr>
        <w:t>乙方应在投标文件中对质保和售后方案做出说明，以确保在质保期内、外均能够及时向甲方提供优质的维修与零部件更换服务。</w:t>
      </w:r>
    </w:p>
    <w:p w14:paraId="7F034B4C">
      <w:pPr>
        <w:jc w:val="center"/>
        <w:rPr>
          <w:rFonts w:ascii="宋体" w:hAnsi="宋体" w:cs="宋体"/>
          <w:b w:val="0"/>
          <w:bCs/>
          <w:color w:val="auto"/>
          <w:sz w:val="28"/>
          <w:szCs w:val="28"/>
          <w:highlight w:val="none"/>
        </w:rPr>
      </w:pPr>
      <w:r>
        <w:rPr>
          <w:rFonts w:hint="eastAsia" w:ascii="宋体" w:hAnsi="宋体" w:cs="宋体"/>
          <w:b w:val="0"/>
          <w:bCs/>
          <w:color w:val="auto"/>
          <w:sz w:val="28"/>
          <w:szCs w:val="28"/>
          <w:highlight w:val="none"/>
        </w:rPr>
        <w:t>附件1  数据信息化软/硬件配套技术要求</w:t>
      </w:r>
    </w:p>
    <w:p w14:paraId="7F034B4D">
      <w:pPr>
        <w:spacing w:line="500" w:lineRule="exact"/>
        <w:rPr>
          <w:rFonts w:ascii="宋体" w:hAnsi="宋体" w:cs="宋体"/>
          <w:b w:val="0"/>
          <w:bCs/>
          <w:color w:val="auto"/>
          <w:sz w:val="24"/>
          <w:highlight w:val="none"/>
        </w:rPr>
      </w:pPr>
      <w:r>
        <w:rPr>
          <w:rFonts w:ascii="宋体" w:hAnsi="宋体" w:cs="宋体"/>
          <w:b w:val="0"/>
          <w:bCs/>
          <w:color w:val="auto"/>
          <w:sz w:val="24"/>
          <w:highlight w:val="none"/>
        </w:rPr>
        <w:t>1.</w:t>
      </w:r>
      <w:r>
        <w:rPr>
          <w:rFonts w:hint="eastAsia" w:ascii="宋体" w:hAnsi="宋体" w:cs="宋体"/>
          <w:b w:val="0"/>
          <w:bCs/>
          <w:color w:val="auto"/>
          <w:sz w:val="24"/>
          <w:highlight w:val="none"/>
        </w:rPr>
        <w:t>总体要求</w:t>
      </w:r>
    </w:p>
    <w:p w14:paraId="7F034B4E">
      <w:pPr>
        <w:spacing w:line="360" w:lineRule="auto"/>
        <w:ind w:firstLine="420"/>
        <w:rPr>
          <w:rFonts w:hint="eastAsia" w:ascii="宋体" w:hAnsi="宋体" w:cs="宋体"/>
          <w:b w:val="0"/>
          <w:bCs/>
          <w:color w:val="auto"/>
          <w:sz w:val="24"/>
          <w:highlight w:val="none"/>
        </w:rPr>
      </w:pPr>
      <w:r>
        <w:rPr>
          <w:rFonts w:ascii="宋体" w:hAnsi="宋体" w:cs="宋体"/>
          <w:b w:val="0"/>
          <w:bCs/>
          <w:color w:val="auto"/>
          <w:sz w:val="24"/>
          <w:highlight w:val="none"/>
        </w:rPr>
        <w:t>投标方应提供统一、标准化、实时、双向、稳定的数据接口，支持设备运行数据采集、报警事件和日志信息上报、生产任务及追溯标识信息下发、工艺参数及配方信息下发、自动化作业调用、执行状态反馈及系统集成等需求。</w:t>
      </w:r>
    </w:p>
    <w:p w14:paraId="7F034B4F">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接口应覆盖设备控制系统、PLC、工控机、触摸屏、仪表、传感器及设备上位机系统中可采集、可显示、可记录的数据，以及原本可由操作人员通过设备上位机、触摸屏或操作面板完成的常规生产操作相关接口。</w:t>
      </w:r>
    </w:p>
    <w:p w14:paraId="7F034B50">
      <w:pPr>
        <w:spacing w:line="500" w:lineRule="exact"/>
        <w:rPr>
          <w:rFonts w:ascii="宋体" w:hAnsi="宋体" w:cs="宋体"/>
          <w:b w:val="0"/>
          <w:bCs/>
          <w:color w:val="auto"/>
          <w:sz w:val="24"/>
          <w:highlight w:val="none"/>
        </w:rPr>
      </w:pPr>
      <w:r>
        <w:rPr>
          <w:rFonts w:ascii="宋体" w:hAnsi="宋体" w:cs="宋体"/>
          <w:b w:val="0"/>
          <w:bCs/>
          <w:color w:val="auto"/>
          <w:sz w:val="24"/>
          <w:highlight w:val="none"/>
        </w:rPr>
        <w:t>2.</w:t>
      </w:r>
      <w:r>
        <w:rPr>
          <w:rFonts w:hint="eastAsia" w:ascii="宋体" w:hAnsi="宋体" w:cs="宋体"/>
          <w:b w:val="0"/>
          <w:bCs/>
          <w:color w:val="auto"/>
          <w:sz w:val="24"/>
          <w:highlight w:val="none"/>
        </w:rPr>
        <w:t>通信协议与接口需求</w:t>
      </w:r>
    </w:p>
    <w:p w14:paraId="7F034B51">
      <w:pPr>
        <w:spacing w:line="500" w:lineRule="exact"/>
        <w:rPr>
          <w:rFonts w:ascii="宋体" w:hAnsi="宋体" w:cs="宋体"/>
          <w:b w:val="0"/>
          <w:bCs/>
          <w:color w:val="auto"/>
          <w:sz w:val="24"/>
          <w:highlight w:val="none"/>
        </w:rPr>
      </w:pPr>
      <w:r>
        <w:rPr>
          <w:rFonts w:ascii="宋体" w:hAnsi="宋体" w:cs="宋体"/>
          <w:b w:val="0"/>
          <w:bCs/>
          <w:color w:val="auto"/>
          <w:sz w:val="24"/>
          <w:highlight w:val="none"/>
        </w:rPr>
        <w:t xml:space="preserve">2.1 </w:t>
      </w:r>
      <w:r>
        <w:rPr>
          <w:rFonts w:hint="eastAsia" w:ascii="宋体" w:hAnsi="宋体" w:cs="宋体"/>
          <w:b w:val="0"/>
          <w:bCs/>
          <w:color w:val="auto"/>
          <w:sz w:val="24"/>
          <w:highlight w:val="none"/>
        </w:rPr>
        <w:t>通信协议</w:t>
      </w:r>
    </w:p>
    <w:p w14:paraId="7F034B52">
      <w:pPr>
        <w:pStyle w:val="334"/>
        <w:spacing w:line="360" w:lineRule="auto"/>
        <w:ind w:left="0"/>
        <w:rPr>
          <w:b w:val="0"/>
          <w:bCs/>
          <w:color w:val="auto"/>
          <w:sz w:val="24"/>
          <w:highlight w:val="none"/>
        </w:rPr>
      </w:pPr>
      <w:r>
        <w:rPr>
          <w:rFonts w:hint="eastAsia"/>
          <w:b w:val="0"/>
          <w:bCs/>
          <w:color w:val="auto"/>
          <w:sz w:val="24"/>
          <w:highlight w:val="none"/>
        </w:rPr>
        <w:t>数据接口优先采用OPC UA工业通信标准，备选支持：Modbus TCP、TCP/IP等采购方认可的工业标准协议。</w:t>
      </w:r>
    </w:p>
    <w:p w14:paraId="7F034B53">
      <w:pPr>
        <w:spacing w:line="500" w:lineRule="exact"/>
        <w:rPr>
          <w:rFonts w:ascii="宋体" w:hAnsi="宋体" w:cs="宋体"/>
          <w:b w:val="0"/>
          <w:bCs/>
          <w:color w:val="auto"/>
          <w:sz w:val="24"/>
          <w:highlight w:val="none"/>
        </w:rPr>
      </w:pPr>
      <w:r>
        <w:rPr>
          <w:rFonts w:ascii="宋体" w:hAnsi="宋体" w:cs="宋体"/>
          <w:b w:val="0"/>
          <w:bCs/>
          <w:color w:val="auto"/>
          <w:sz w:val="24"/>
          <w:highlight w:val="none"/>
        </w:rPr>
        <w:t xml:space="preserve">2.2 </w:t>
      </w:r>
      <w:r>
        <w:rPr>
          <w:rFonts w:hint="eastAsia" w:ascii="宋体" w:hAnsi="宋体" w:cs="宋体"/>
          <w:b w:val="0"/>
          <w:bCs/>
          <w:color w:val="auto"/>
          <w:sz w:val="24"/>
          <w:highlight w:val="none"/>
        </w:rPr>
        <w:t>实时通信</w:t>
      </w:r>
    </w:p>
    <w:p w14:paraId="7F034B54">
      <w:pPr>
        <w:pStyle w:val="334"/>
        <w:spacing w:line="360" w:lineRule="auto"/>
        <w:ind w:left="0"/>
        <w:rPr>
          <w:b w:val="0"/>
          <w:bCs/>
          <w:color w:val="auto"/>
          <w:sz w:val="24"/>
          <w:highlight w:val="none"/>
        </w:rPr>
      </w:pPr>
      <w:r>
        <w:rPr>
          <w:rFonts w:hint="eastAsia"/>
          <w:b w:val="0"/>
          <w:bCs/>
          <w:color w:val="auto"/>
          <w:sz w:val="24"/>
          <w:highlight w:val="none"/>
        </w:rPr>
        <w:t>接口应支持外部系统实时读取或订阅设备运行过程数据、设备状态数据、报警与事件数据、系统操作日志、能耗数据、产品与工艺追溯信息等数据。不得仅以 Excel、CSV、TXT、本地数据库导出、U 盘拷贝或人工导出等方式替代实时通信接口。文件导出、报表导出或历史数据导出可作为辅助功能，但不得替代实时数据采集、报警事件上送、数据下发、作业请求和执行反馈接口。</w:t>
      </w:r>
    </w:p>
    <w:p w14:paraId="7F034B55">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2.3 双向通信</w:t>
      </w:r>
    </w:p>
    <w:p w14:paraId="7F034B56">
      <w:pPr>
        <w:pStyle w:val="334"/>
        <w:spacing w:line="360" w:lineRule="auto"/>
        <w:ind w:left="0"/>
        <w:rPr>
          <w:b w:val="0"/>
          <w:bCs/>
          <w:color w:val="auto"/>
          <w:sz w:val="24"/>
          <w:highlight w:val="none"/>
        </w:rPr>
      </w:pPr>
      <w:r>
        <w:rPr>
          <w:b w:val="0"/>
          <w:bCs/>
          <w:color w:val="auto"/>
          <w:sz w:val="24"/>
          <w:highlight w:val="none"/>
        </w:rPr>
        <w:t>接口应具备双向通信能力，既支持设备数据上传，也支持外部系统按照约定权限和接口规范进行生产任务、追溯标识、工艺参数、流程选择及作业请求等数据下发，并获取设备端接收、校验、执行和异常反馈结果。</w:t>
      </w:r>
    </w:p>
    <w:p w14:paraId="7F034B57">
      <w:pPr>
        <w:spacing w:line="500" w:lineRule="exact"/>
        <w:rPr>
          <w:rFonts w:ascii="宋体" w:hAnsi="宋体" w:cs="宋体"/>
          <w:b w:val="0"/>
          <w:bCs/>
          <w:color w:val="auto"/>
          <w:sz w:val="24"/>
          <w:highlight w:val="none"/>
        </w:rPr>
      </w:pPr>
      <w:r>
        <w:rPr>
          <w:rFonts w:ascii="宋体" w:hAnsi="宋体" w:cs="宋体"/>
          <w:b w:val="0"/>
          <w:bCs/>
          <w:color w:val="auto"/>
          <w:sz w:val="24"/>
          <w:highlight w:val="none"/>
        </w:rPr>
        <w:t xml:space="preserve">2.4 </w:t>
      </w:r>
      <w:r>
        <w:rPr>
          <w:rFonts w:hint="eastAsia" w:ascii="宋体" w:hAnsi="宋体" w:cs="宋体"/>
          <w:b w:val="0"/>
          <w:bCs/>
          <w:color w:val="auto"/>
          <w:sz w:val="24"/>
          <w:highlight w:val="none"/>
        </w:rPr>
        <w:t>多客户端并发访问</w:t>
      </w:r>
    </w:p>
    <w:p w14:paraId="7F034B58">
      <w:pPr>
        <w:spacing w:line="360" w:lineRule="auto"/>
        <w:ind w:firstLine="357"/>
        <w:rPr>
          <w:rFonts w:ascii="宋体" w:hAnsi="宋体" w:cs="宋体"/>
          <w:b w:val="0"/>
          <w:bCs/>
          <w:color w:val="auto"/>
          <w:sz w:val="24"/>
          <w:highlight w:val="none"/>
        </w:rPr>
      </w:pPr>
      <w:r>
        <w:rPr>
          <w:rFonts w:hint="eastAsia" w:ascii="宋体" w:hAnsi="宋体" w:cs="宋体"/>
          <w:b w:val="0"/>
          <w:bCs/>
          <w:color w:val="auto"/>
          <w:sz w:val="24"/>
          <w:highlight w:val="none"/>
        </w:rPr>
        <w:t>接口应支持多客户端同时连接，不影响设备正常运行和控制系统稳定性。投标方应说明接口支持的最大连接数、并发访问机制、访问优先级、冲突处理机制和异常连接处理方式。</w:t>
      </w:r>
    </w:p>
    <w:p w14:paraId="7F034B59">
      <w:pPr>
        <w:spacing w:line="500" w:lineRule="exact"/>
        <w:rPr>
          <w:rFonts w:ascii="宋体" w:hAnsi="宋体" w:cs="宋体"/>
          <w:b w:val="0"/>
          <w:bCs/>
          <w:color w:val="auto"/>
          <w:sz w:val="24"/>
          <w:highlight w:val="none"/>
        </w:rPr>
      </w:pPr>
      <w:r>
        <w:rPr>
          <w:rFonts w:ascii="宋体" w:hAnsi="宋体" w:cs="宋体"/>
          <w:b w:val="0"/>
          <w:bCs/>
          <w:color w:val="auto"/>
          <w:sz w:val="24"/>
          <w:highlight w:val="none"/>
        </w:rPr>
        <w:t xml:space="preserve">2.5 </w:t>
      </w:r>
      <w:r>
        <w:rPr>
          <w:rFonts w:hint="eastAsia" w:ascii="宋体" w:hAnsi="宋体" w:cs="宋体"/>
          <w:b w:val="0"/>
          <w:bCs/>
          <w:color w:val="auto"/>
          <w:sz w:val="24"/>
          <w:highlight w:val="none"/>
        </w:rPr>
        <w:t>数据点表</w:t>
      </w:r>
    </w:p>
    <w:p w14:paraId="7F034B5A">
      <w:pPr>
        <w:spacing w:line="360" w:lineRule="auto"/>
        <w:ind w:firstLine="360"/>
        <w:rPr>
          <w:rFonts w:ascii="宋体" w:hAnsi="宋体" w:cs="宋体"/>
          <w:b w:val="0"/>
          <w:bCs/>
          <w:color w:val="auto"/>
          <w:sz w:val="24"/>
          <w:highlight w:val="none"/>
        </w:rPr>
      </w:pPr>
      <w:r>
        <w:rPr>
          <w:rFonts w:ascii="宋体" w:hAnsi="宋体" w:cs="宋体"/>
          <w:b w:val="0"/>
          <w:bCs/>
          <w:color w:val="auto"/>
          <w:highlight w:val="none"/>
        </w:rPr>
        <w:tab/>
      </w:r>
      <w:r>
        <w:rPr>
          <w:rFonts w:hint="eastAsia" w:ascii="宋体" w:hAnsi="宋体" w:cs="宋体"/>
          <w:b w:val="0"/>
          <w:bCs/>
          <w:color w:val="auto"/>
          <w:sz w:val="24"/>
          <w:highlight w:val="none"/>
        </w:rPr>
        <w:t>投标方在投标文件中必须明确：可开放数据范围、数据来源、通讯方式、时间同步方式、数据导出方式，并提供完整数据点表，至少包含：</w:t>
      </w:r>
    </w:p>
    <w:p w14:paraId="7F034B5B">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数据点名称</w:t>
      </w:r>
    </w:p>
    <w:p w14:paraId="7F034B5C">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数据来源（PLC/仪表/工控机等）</w:t>
      </w:r>
    </w:p>
    <w:p w14:paraId="7F034B5D">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数据含义</w:t>
      </w:r>
    </w:p>
    <w:p w14:paraId="7F034B5E">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单位</w:t>
      </w:r>
    </w:p>
    <w:p w14:paraId="7F034B5F">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数据类型</w:t>
      </w:r>
    </w:p>
    <w:p w14:paraId="7F034B60">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取值范围</w:t>
      </w:r>
    </w:p>
    <w:p w14:paraId="7F034B61">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允许的刷新周期范围</w:t>
      </w:r>
    </w:p>
    <w:p w14:paraId="7F034B62">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精度</w:t>
      </w:r>
    </w:p>
    <w:p w14:paraId="7F034B63">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读写属性（只读/可写）</w:t>
      </w:r>
    </w:p>
    <w:p w14:paraId="7F034B64">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写入方式、写入限制条件和设备端校验规则</w:t>
      </w:r>
    </w:p>
    <w:p w14:paraId="7F034B65">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报警阈值/状态定义</w:t>
      </w:r>
    </w:p>
    <w:p w14:paraId="7F034B66">
      <w:pPr>
        <w:numPr>
          <w:ilvl w:val="0"/>
          <w:numId w:val="18"/>
        </w:num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执行反馈内容</w:t>
      </w:r>
    </w:p>
    <w:p w14:paraId="7F034B67">
      <w:pPr>
        <w:spacing w:line="500" w:lineRule="exact"/>
        <w:rPr>
          <w:rFonts w:ascii="宋体" w:hAnsi="宋体" w:cs="宋体"/>
          <w:b w:val="0"/>
          <w:bCs/>
          <w:color w:val="auto"/>
          <w:sz w:val="24"/>
          <w:highlight w:val="none"/>
        </w:rPr>
      </w:pPr>
      <w:r>
        <w:rPr>
          <w:rFonts w:ascii="宋体" w:hAnsi="宋体" w:cs="宋体"/>
          <w:b w:val="0"/>
          <w:bCs/>
          <w:color w:val="auto"/>
          <w:sz w:val="24"/>
          <w:highlight w:val="none"/>
        </w:rPr>
        <w:t>3.</w:t>
      </w:r>
      <w:r>
        <w:rPr>
          <w:rFonts w:hint="eastAsia" w:ascii="宋体" w:hAnsi="宋体" w:cs="宋体"/>
          <w:b w:val="0"/>
          <w:bCs/>
          <w:color w:val="auto"/>
          <w:sz w:val="24"/>
          <w:highlight w:val="none"/>
        </w:rPr>
        <w:t>数据开放范围与内容</w:t>
      </w:r>
    </w:p>
    <w:p w14:paraId="7F034B68">
      <w:pPr>
        <w:spacing w:line="360" w:lineRule="auto"/>
        <w:ind w:firstLine="420"/>
        <w:rPr>
          <w:rFonts w:ascii="宋体" w:hAnsi="宋体" w:cs="宋体"/>
          <w:b w:val="0"/>
          <w:bCs/>
          <w:color w:val="auto"/>
          <w:sz w:val="24"/>
          <w:highlight w:val="none"/>
        </w:rPr>
      </w:pPr>
      <w:r>
        <w:rPr>
          <w:rFonts w:ascii="宋体" w:hAnsi="宋体" w:cs="宋体"/>
          <w:b w:val="0"/>
          <w:bCs/>
          <w:color w:val="auto"/>
          <w:sz w:val="24"/>
          <w:highlight w:val="none"/>
        </w:rPr>
        <w:t>投标方应开放满足设备运行监控、生产管理、自动化作业、质量追溯和系统集成所需的数据</w:t>
      </w:r>
      <w:r>
        <w:rPr>
          <w:rFonts w:hint="eastAsia" w:ascii="宋体" w:hAnsi="宋体" w:cs="宋体"/>
          <w:b w:val="0"/>
          <w:bCs/>
          <w:color w:val="auto"/>
          <w:sz w:val="24"/>
          <w:highlight w:val="none"/>
        </w:rPr>
        <w:t>。数据类型至少包含以下内容：</w:t>
      </w:r>
    </w:p>
    <w:p w14:paraId="7F034B69">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（1）工艺过程数据</w:t>
      </w:r>
    </w:p>
    <w:p w14:paraId="7F034B6A">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包括但不限于，功率、电流、电压、温度、真空度、气体流量、压力、冷却水流量、转速、位移、电流、电压、视频流或图片等生产过程中的实时数据。</w:t>
      </w:r>
    </w:p>
    <w:p w14:paraId="7F034B6B">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（2）设备状态数据</w:t>
      </w:r>
    </w:p>
    <w:p w14:paraId="7F034B6C">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包括但不限于，各子系统运行状态、模块在线状态、开关量状态、阀门状态、电机状态、仪表状态、电源状态、通讯状态、设备运行阶段等。</w:t>
      </w:r>
    </w:p>
    <w:p w14:paraId="7F034B6D">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（3）报警与事件数据</w:t>
      </w:r>
    </w:p>
    <w:p w14:paraId="7F034B6E">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包括但不限于，报警代码、报警内容、报警等级、发生时间、恢复时间、报警位置、报警确认状态、事件日志、异常停机原因、异常拒绝原因等。</w:t>
      </w:r>
    </w:p>
    <w:p w14:paraId="7F034B6F">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（4）系统操作日志</w:t>
      </w:r>
    </w:p>
    <w:p w14:paraId="7F034B70">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包括但不限于，设备运行记录、报警记录、操作人记录、参数修改记录、登录登出记录、数据下发记录、任务接受记录、执行请求记录等。</w:t>
      </w:r>
    </w:p>
    <w:p w14:paraId="7F034B71">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（5）能耗数据</w:t>
      </w:r>
    </w:p>
    <w:p w14:paraId="7F034B72">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电、水、气等各类输入能源的实时消耗、累计消耗、功率、瞬时流量等。</w:t>
      </w:r>
    </w:p>
    <w:p w14:paraId="7F034B73">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（6）产品与工艺信息</w:t>
      </w:r>
    </w:p>
    <w:p w14:paraId="7F034B74">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包括但不限于，批次号、产品编号、工艺号、配方号、开始/结束时间以及物料信息等由外部系统下发与生产过程和质量追溯相关的信息。该类信息可由采购方上位机、MES、SCADA 或其他外部系统下发至设备，也应能够与设备运行过程数据、状态数据、报警数据、操作日志和执行结果关联后上传至上层系统。</w:t>
      </w:r>
    </w:p>
    <w:p w14:paraId="7F034B75">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4.</w:t>
      </w:r>
      <w:r>
        <w:rPr>
          <w:rFonts w:hint="eastAsia" w:ascii="宋体" w:hAnsi="宋体" w:cs="宋体"/>
          <w:b w:val="0"/>
          <w:bCs/>
          <w:color w:val="auto"/>
          <w:sz w:val="24"/>
          <w:highlight w:val="none"/>
        </w:rPr>
        <w:t>系统集成与自动化作业能力</w:t>
      </w:r>
    </w:p>
    <w:p w14:paraId="7F034B76">
      <w:pPr>
        <w:spacing w:line="360" w:lineRule="auto"/>
        <w:ind w:left="480" w:hanging="480" w:hangingChars="200"/>
        <w:rPr>
          <w:rFonts w:ascii="宋体" w:hAnsi="宋体" w:cs="宋体"/>
          <w:b w:val="0"/>
          <w:bCs/>
          <w:color w:val="auto"/>
          <w:sz w:val="24"/>
          <w:highlight w:val="none"/>
        </w:rPr>
      </w:pPr>
      <w:r>
        <w:rPr>
          <w:rFonts w:hint="eastAsia" w:ascii="宋体" w:hAnsi="宋体" w:cs="宋体"/>
          <w:b w:val="0"/>
          <w:bCs/>
          <w:color w:val="auto"/>
          <w:sz w:val="24"/>
          <w:highlight w:val="none"/>
        </w:rPr>
        <w:t>（1）接口应支持与 MES、SCADA、质量追溯、数字孪生等外部系统进行数据集成，实现设备运行数据上传、报警事件上送、生产任务下发、批次信息下发、工艺参数下发、执行状态反馈和过程数据追溯等功能。</w:t>
      </w:r>
    </w:p>
    <w:p w14:paraId="7F034B77">
      <w:pPr>
        <w:spacing w:line="360" w:lineRule="auto"/>
        <w:ind w:left="480" w:hanging="480" w:hangingChars="200"/>
        <w:rPr>
          <w:rFonts w:ascii="宋体" w:hAnsi="宋体" w:cs="宋体"/>
          <w:b w:val="0"/>
          <w:bCs/>
          <w:color w:val="auto"/>
          <w:sz w:val="24"/>
          <w:highlight w:val="none"/>
        </w:rPr>
      </w:pPr>
      <w:r>
        <w:rPr>
          <w:rFonts w:hint="eastAsia" w:ascii="宋体" w:hAnsi="宋体" w:cs="宋体"/>
          <w:b w:val="0"/>
          <w:bCs/>
          <w:color w:val="auto"/>
          <w:sz w:val="24"/>
          <w:highlight w:val="none"/>
        </w:rPr>
        <w:t>（2）对于批次号、产品编号、物料编号、工艺号、配方号等与产品生产和质量追溯高度相关的数据，应采用“外部系统下发—设备端接收绑定—生产过程中关联记录—生产完成后回传结果”的数据流方式。设备在运行过程中产生的过程数据、状态数据、报警数据、操作日志、工艺执行结果等，应能够关联对应的批次号或产品编号等信息，并随数据上传至上层系统，用于生产追溯、质量分析和工艺管理。</w:t>
      </w:r>
    </w:p>
    <w:p w14:paraId="7F034B78">
      <w:pPr>
        <w:spacing w:line="360" w:lineRule="auto"/>
        <w:ind w:left="480" w:hanging="480" w:hangingChars="200"/>
        <w:rPr>
          <w:rFonts w:ascii="宋体" w:hAnsi="宋体" w:cs="宋体"/>
          <w:b w:val="0"/>
          <w:bCs/>
          <w:color w:val="auto"/>
          <w:sz w:val="24"/>
          <w:highlight w:val="none"/>
        </w:rPr>
      </w:pPr>
      <w:r>
        <w:rPr>
          <w:rFonts w:hint="eastAsia" w:ascii="宋体" w:hAnsi="宋体" w:cs="宋体"/>
          <w:b w:val="0"/>
          <w:bCs/>
          <w:color w:val="auto"/>
          <w:sz w:val="24"/>
          <w:highlight w:val="none"/>
        </w:rPr>
        <w:t>（3）接口应支持采购方进行“自动化作业”改造，所谓“自动化作业”是指采购方的上位机或外部系统能够按照预设流程，调用设备控制系统开放且允许的接口功能，替代或减少操作人员在设备上位机、触摸屏或操作面板中进行的常规选择、确认、加载、设备操作、启动请求和状态查询等操作，从而实现生产任务的自动执行。</w:t>
      </w:r>
    </w:p>
    <w:p w14:paraId="7F034B79">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5.</w:t>
      </w:r>
      <w:r>
        <w:rPr>
          <w:rFonts w:hint="eastAsia" w:ascii="宋体" w:hAnsi="宋体" w:cs="宋体"/>
          <w:b w:val="0"/>
          <w:bCs/>
          <w:color w:val="auto"/>
          <w:sz w:val="24"/>
          <w:highlight w:val="none"/>
        </w:rPr>
        <w:t>时间同步与时间戳</w:t>
      </w:r>
    </w:p>
    <w:p w14:paraId="7F034B7A">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（1）设备必须支持NTP网络校时，与工厂服务器自动同步时间。</w:t>
      </w:r>
    </w:p>
    <w:p w14:paraId="7F034B7B">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（2）所有带时钟的硬件时间必须统一，误差在采购方允许的范围内。</w:t>
      </w:r>
    </w:p>
    <w:p w14:paraId="7F034B7C">
      <w:pPr>
        <w:spacing w:line="360" w:lineRule="auto"/>
        <w:ind w:left="480" w:hanging="480" w:hangingChars="200"/>
        <w:rPr>
          <w:rFonts w:ascii="宋体" w:hAnsi="宋体" w:cs="宋体"/>
          <w:b w:val="0"/>
          <w:bCs/>
          <w:color w:val="auto"/>
          <w:sz w:val="24"/>
          <w:highlight w:val="none"/>
        </w:rPr>
      </w:pPr>
      <w:r>
        <w:rPr>
          <w:rFonts w:hint="eastAsia" w:ascii="宋体" w:hAnsi="宋体" w:cs="宋体"/>
          <w:b w:val="0"/>
          <w:bCs/>
          <w:color w:val="auto"/>
          <w:sz w:val="24"/>
          <w:highlight w:val="none"/>
        </w:rPr>
        <w:t>（3）所有数据必须带统一、精准的时间戳，时间戳必须为数据产生时刻，而非系统接收时刻。</w:t>
      </w:r>
    </w:p>
    <w:p w14:paraId="7F034B7D">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6.</w:t>
      </w:r>
      <w:r>
        <w:rPr>
          <w:rFonts w:hint="eastAsia" w:ascii="宋体" w:hAnsi="宋体" w:cs="宋体"/>
          <w:b w:val="0"/>
          <w:bCs/>
          <w:color w:val="auto"/>
          <w:sz w:val="24"/>
          <w:highlight w:val="none"/>
        </w:rPr>
        <w:t>数据质量与稳定性要求</w:t>
      </w:r>
    </w:p>
    <w:p w14:paraId="7F034B7E">
      <w:pPr>
        <w:ind w:firstLine="420"/>
        <w:rPr>
          <w:rFonts w:hint="eastAsia" w:ascii="宋体" w:hAnsi="宋体" w:cs="宋体"/>
          <w:b w:val="0"/>
          <w:bCs/>
          <w:color w:val="auto"/>
          <w:sz w:val="24"/>
          <w:highlight w:val="none"/>
        </w:rPr>
      </w:pPr>
      <w:r>
        <w:rPr>
          <w:rFonts w:hint="eastAsia" w:ascii="宋体" w:hAnsi="宋体" w:cs="宋体"/>
          <w:b w:val="0"/>
          <w:bCs/>
          <w:color w:val="auto"/>
          <w:sz w:val="24"/>
          <w:highlight w:val="none"/>
        </w:rPr>
        <w:t>接口所提供的数据必须满足以下需求：</w:t>
      </w:r>
    </w:p>
    <w:p w14:paraId="7F034B7F">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（1）数据完整性：无丢失、无遗漏、无缺包，全量采集。</w:t>
      </w:r>
    </w:p>
    <w:p w14:paraId="7F034B80">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（2）数据准确性：与现场仪表、上位机显示一致，误差满足工艺要求。</w:t>
      </w:r>
    </w:p>
    <w:p w14:paraId="7F034B81">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3）实时性：关键过程数据采集频率应满足工艺监控要求，原则上不低于设备上位机或控制系统自身刷新/记录频率。温度、压力、真空度、功率、电流、电压、转速、流量等关键数据的采集周期由双方根据设备类型和工艺要求在数据点表中明确；报警数据应实时上送。</w:t>
      </w:r>
    </w:p>
    <w:p w14:paraId="7F034B82">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（4）断线缓存：支持网络中断时本地缓存，恢复后自动补传，不丢失数据。</w:t>
      </w:r>
    </w:p>
    <w:p w14:paraId="7F034B83">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（5）自动重连：网络异常恢复后，接口自动重连，无需人工干预。</w:t>
      </w:r>
    </w:p>
    <w:p w14:paraId="7F034B84">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（6）数据校验：支持数据校验，保证传输可靠。</w:t>
      </w:r>
    </w:p>
    <w:p w14:paraId="7F034B85">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7.</w:t>
      </w:r>
      <w:r>
        <w:rPr>
          <w:rFonts w:hint="eastAsia" w:ascii="宋体" w:hAnsi="宋体" w:cs="宋体"/>
          <w:b w:val="0"/>
          <w:bCs/>
          <w:color w:val="auto"/>
          <w:sz w:val="24"/>
          <w:highlight w:val="none"/>
        </w:rPr>
        <w:t>安全与权限要求</w:t>
      </w:r>
    </w:p>
    <w:p w14:paraId="7F034B86">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（1）支持用户权限、角色权限、指令权限分级管理。</w:t>
      </w:r>
    </w:p>
    <w:p w14:paraId="7F034B87">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（2）对涉及数据下发、参数修改、配方加载、任务启动、模式切换等控制操作，应具备权限校验、安全联锁、二次确认或设备端确认、操作审计及异常拒绝机制。</w:t>
      </w:r>
    </w:p>
    <w:p w14:paraId="7F034B88">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（3）支持接口访问认证、加密传输（如 TLS/SSL），防止非法访问。</w:t>
      </w:r>
    </w:p>
    <w:p w14:paraId="7F034B89">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（4）所有控制操作留痕，可追溯、可审计。</w:t>
      </w:r>
    </w:p>
    <w:p w14:paraId="7F034B8A">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5）外部系统通过接口下发的数据、任务、配方、参数或执行请求，应由设备控制系统进行接收、校验、判断和执行。设备控制系统应对安全联锁、工艺保护、运行状态判断、动作执行和异常处置负责。因外部系统下发数据超出约定范围、格式错误、权限不符或不满足工艺条件导致设备拒绝执行的，设备应反馈明确原因。因设备控制系统未按约定进行校验、联锁保护、异常拒绝或执行反馈导致的问题，应由投标方承担相应责任。</w:t>
      </w:r>
    </w:p>
    <w:p w14:paraId="7F034B8B">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8.</w:t>
      </w:r>
      <w:r>
        <w:rPr>
          <w:rFonts w:hint="eastAsia" w:ascii="宋体" w:hAnsi="宋体" w:cs="宋体"/>
          <w:b w:val="0"/>
          <w:bCs/>
          <w:color w:val="auto"/>
          <w:sz w:val="24"/>
          <w:highlight w:val="none"/>
        </w:rPr>
        <w:t>联调、测试与验收</w:t>
      </w:r>
    </w:p>
    <w:p w14:paraId="7F034B8C">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（1）投标方必须全程配合采购方或第三方完成接口开发、联调、测试、验收。</w:t>
      </w:r>
    </w:p>
    <w:p w14:paraId="7F034B8D">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（2）验收内容包括：</w:t>
      </w:r>
    </w:p>
    <w:p w14:paraId="7F034B8E">
      <w:pPr>
        <w:pStyle w:val="334"/>
        <w:numPr>
          <w:ilvl w:val="0"/>
          <w:numId w:val="19"/>
        </w:numPr>
        <w:spacing w:line="360" w:lineRule="auto"/>
        <w:rPr>
          <w:b w:val="0"/>
          <w:bCs/>
          <w:color w:val="auto"/>
          <w:sz w:val="24"/>
          <w:highlight w:val="none"/>
        </w:rPr>
      </w:pPr>
      <w:r>
        <w:rPr>
          <w:rFonts w:hint="eastAsia"/>
          <w:b w:val="0"/>
          <w:bCs/>
          <w:color w:val="auto"/>
          <w:sz w:val="24"/>
          <w:highlight w:val="none"/>
        </w:rPr>
        <w:t>通信连通性与稳定性</w:t>
      </w:r>
    </w:p>
    <w:p w14:paraId="7F034B8F">
      <w:pPr>
        <w:pStyle w:val="334"/>
        <w:numPr>
          <w:ilvl w:val="0"/>
          <w:numId w:val="19"/>
        </w:numPr>
        <w:spacing w:line="360" w:lineRule="auto"/>
        <w:rPr>
          <w:b w:val="0"/>
          <w:bCs/>
          <w:color w:val="auto"/>
          <w:sz w:val="24"/>
          <w:highlight w:val="none"/>
        </w:rPr>
      </w:pPr>
      <w:r>
        <w:rPr>
          <w:rFonts w:hint="eastAsia"/>
          <w:b w:val="0"/>
          <w:bCs/>
          <w:color w:val="auto"/>
          <w:sz w:val="24"/>
          <w:highlight w:val="none"/>
        </w:rPr>
        <w:t>数据完整性、准确性、实时性</w:t>
      </w:r>
    </w:p>
    <w:p w14:paraId="7F034B90">
      <w:pPr>
        <w:pStyle w:val="334"/>
        <w:numPr>
          <w:ilvl w:val="0"/>
          <w:numId w:val="19"/>
        </w:numPr>
        <w:spacing w:line="360" w:lineRule="auto"/>
        <w:rPr>
          <w:b w:val="0"/>
          <w:bCs/>
          <w:color w:val="auto"/>
          <w:sz w:val="24"/>
          <w:highlight w:val="none"/>
        </w:rPr>
      </w:pPr>
      <w:r>
        <w:rPr>
          <w:rFonts w:hint="eastAsia"/>
          <w:b w:val="0"/>
          <w:bCs/>
          <w:color w:val="auto"/>
          <w:sz w:val="24"/>
          <w:highlight w:val="none"/>
        </w:rPr>
        <w:t>时间戳一致性</w:t>
      </w:r>
    </w:p>
    <w:p w14:paraId="7F034B91">
      <w:pPr>
        <w:pStyle w:val="334"/>
        <w:numPr>
          <w:ilvl w:val="0"/>
          <w:numId w:val="19"/>
        </w:numPr>
        <w:spacing w:line="360" w:lineRule="auto"/>
        <w:rPr>
          <w:b w:val="0"/>
          <w:bCs/>
          <w:color w:val="auto"/>
          <w:sz w:val="24"/>
          <w:highlight w:val="none"/>
        </w:rPr>
      </w:pPr>
      <w:r>
        <w:rPr>
          <w:rFonts w:hint="eastAsia"/>
          <w:b w:val="0"/>
          <w:bCs/>
          <w:color w:val="auto"/>
          <w:sz w:val="24"/>
          <w:highlight w:val="none"/>
        </w:rPr>
        <w:t>采集频率达标</w:t>
      </w:r>
    </w:p>
    <w:p w14:paraId="7F034B92">
      <w:pPr>
        <w:pStyle w:val="334"/>
        <w:numPr>
          <w:ilvl w:val="0"/>
          <w:numId w:val="19"/>
        </w:numPr>
        <w:spacing w:line="360" w:lineRule="auto"/>
        <w:rPr>
          <w:b w:val="0"/>
          <w:bCs/>
          <w:color w:val="auto"/>
          <w:sz w:val="24"/>
          <w:highlight w:val="none"/>
        </w:rPr>
      </w:pPr>
      <w:r>
        <w:rPr>
          <w:rFonts w:hint="eastAsia"/>
          <w:b w:val="0"/>
          <w:bCs/>
          <w:color w:val="auto"/>
          <w:sz w:val="24"/>
          <w:highlight w:val="none"/>
        </w:rPr>
        <w:t>报警实时上送</w:t>
      </w:r>
    </w:p>
    <w:p w14:paraId="7F034B93">
      <w:pPr>
        <w:pStyle w:val="334"/>
        <w:numPr>
          <w:ilvl w:val="0"/>
          <w:numId w:val="19"/>
        </w:numPr>
        <w:spacing w:line="360" w:lineRule="auto"/>
        <w:rPr>
          <w:b w:val="0"/>
          <w:bCs/>
          <w:color w:val="auto"/>
          <w:sz w:val="24"/>
          <w:highlight w:val="none"/>
        </w:rPr>
      </w:pPr>
      <w:r>
        <w:rPr>
          <w:rFonts w:hint="eastAsia"/>
          <w:b w:val="0"/>
          <w:bCs/>
          <w:color w:val="auto"/>
          <w:sz w:val="24"/>
          <w:highlight w:val="none"/>
        </w:rPr>
        <w:t>断线缓存与重连</w:t>
      </w:r>
    </w:p>
    <w:p w14:paraId="7F034B94">
      <w:pPr>
        <w:pStyle w:val="334"/>
        <w:numPr>
          <w:ilvl w:val="0"/>
          <w:numId w:val="19"/>
        </w:numPr>
        <w:spacing w:line="360" w:lineRule="auto"/>
        <w:rPr>
          <w:b w:val="0"/>
          <w:bCs/>
          <w:color w:val="auto"/>
          <w:sz w:val="24"/>
          <w:highlight w:val="none"/>
        </w:rPr>
      </w:pPr>
      <w:r>
        <w:rPr>
          <w:rFonts w:hint="eastAsia"/>
          <w:b w:val="0"/>
          <w:bCs/>
          <w:color w:val="auto"/>
          <w:sz w:val="24"/>
          <w:highlight w:val="none"/>
        </w:rPr>
        <w:t>数据下发功能可用</w:t>
      </w:r>
    </w:p>
    <w:p w14:paraId="7F034B95">
      <w:pPr>
        <w:pStyle w:val="334"/>
        <w:numPr>
          <w:ilvl w:val="0"/>
          <w:numId w:val="19"/>
        </w:numPr>
        <w:spacing w:line="360" w:lineRule="auto"/>
        <w:rPr>
          <w:b w:val="0"/>
          <w:bCs/>
          <w:color w:val="auto"/>
          <w:sz w:val="24"/>
          <w:highlight w:val="none"/>
        </w:rPr>
      </w:pPr>
      <w:r>
        <w:rPr>
          <w:rFonts w:hint="eastAsia"/>
          <w:b w:val="0"/>
          <w:bCs/>
          <w:color w:val="auto"/>
          <w:sz w:val="24"/>
          <w:highlight w:val="none"/>
        </w:rPr>
        <w:t>自动化作业功能可用</w:t>
      </w:r>
    </w:p>
    <w:p w14:paraId="7F034B96">
      <w:pPr>
        <w:pStyle w:val="334"/>
        <w:numPr>
          <w:ilvl w:val="0"/>
          <w:numId w:val="19"/>
        </w:numPr>
        <w:spacing w:line="360" w:lineRule="auto"/>
        <w:rPr>
          <w:b w:val="0"/>
          <w:bCs/>
          <w:color w:val="auto"/>
          <w:sz w:val="24"/>
          <w:highlight w:val="none"/>
        </w:rPr>
      </w:pPr>
      <w:r>
        <w:rPr>
          <w:rFonts w:hint="eastAsia"/>
          <w:b w:val="0"/>
          <w:bCs/>
          <w:color w:val="auto"/>
          <w:sz w:val="24"/>
          <w:highlight w:val="none"/>
        </w:rPr>
        <w:t>文档与点表完整准确</w:t>
      </w:r>
    </w:p>
    <w:p w14:paraId="7F034B97">
      <w:pPr>
        <w:spacing w:line="360" w:lineRule="auto"/>
        <w:rPr>
          <w:rFonts w:ascii="宋体" w:hAnsi="宋体" w:cs="宋体"/>
          <w:b w:val="0"/>
          <w:bCs/>
          <w:color w:val="auto"/>
          <w:sz w:val="24"/>
          <w:highlight w:val="none"/>
        </w:rPr>
      </w:pPr>
      <w:r>
        <w:rPr>
          <w:rFonts w:hint="eastAsia" w:ascii="宋体" w:hAnsi="宋体" w:cs="宋体"/>
          <w:b w:val="0"/>
          <w:bCs/>
          <w:color w:val="auto"/>
          <w:sz w:val="24"/>
          <w:highlight w:val="none"/>
        </w:rPr>
        <w:t>（3）验收不通过，投标方必须无偿整改至合格。</w:t>
      </w:r>
    </w:p>
    <w:p w14:paraId="7F034B98">
      <w:pPr>
        <w:spacing w:line="500" w:lineRule="exact"/>
        <w:ind w:left="360"/>
        <w:rPr>
          <w:rFonts w:ascii="宋体" w:hAnsi="宋体" w:cs="宋体"/>
          <w:b w:val="0"/>
          <w:bCs/>
          <w:color w:val="auto"/>
          <w:sz w:val="24"/>
          <w:highlight w:val="none"/>
        </w:rPr>
      </w:pPr>
      <w:r>
        <w:rPr>
          <w:rFonts w:ascii="宋体" w:hAnsi="宋体" w:cs="宋体"/>
          <w:b w:val="0"/>
          <w:bCs/>
          <w:color w:val="auto"/>
          <w:sz w:val="24"/>
          <w:highlight w:val="none"/>
        </w:rPr>
        <w:t>9.</w:t>
      </w:r>
      <w:r>
        <w:rPr>
          <w:rFonts w:hint="eastAsia" w:ascii="宋体" w:hAnsi="宋体" w:cs="宋体"/>
          <w:b w:val="0"/>
          <w:bCs/>
          <w:color w:val="auto"/>
          <w:sz w:val="24"/>
          <w:highlight w:val="none"/>
        </w:rPr>
        <w:t>交付物</w:t>
      </w:r>
    </w:p>
    <w:p w14:paraId="7F034B99">
      <w:pPr>
        <w:spacing w:line="360" w:lineRule="auto"/>
        <w:ind w:firstLine="420"/>
        <w:rPr>
          <w:rFonts w:ascii="宋体" w:hAnsi="宋体" w:cs="宋体"/>
          <w:b w:val="0"/>
          <w:bCs/>
          <w:color w:val="auto"/>
          <w:sz w:val="24"/>
          <w:highlight w:val="none"/>
        </w:rPr>
      </w:pPr>
      <w:r>
        <w:rPr>
          <w:rFonts w:hint="eastAsia" w:ascii="宋体" w:hAnsi="宋体" w:cs="宋体"/>
          <w:b w:val="0"/>
          <w:bCs/>
          <w:color w:val="auto"/>
          <w:sz w:val="24"/>
          <w:highlight w:val="none"/>
        </w:rPr>
        <w:t>投标方需提供：</w:t>
      </w:r>
    </w:p>
    <w:p w14:paraId="7F034B9A">
      <w:pPr>
        <w:spacing w:line="360" w:lineRule="auto"/>
        <w:ind w:left="420" w:firstLine="420"/>
        <w:rPr>
          <w:rFonts w:ascii="宋体" w:hAnsi="宋体" w:cs="宋体"/>
          <w:b w:val="0"/>
          <w:bCs/>
          <w:color w:val="auto"/>
          <w:sz w:val="24"/>
          <w:highlight w:val="none"/>
        </w:rPr>
      </w:pPr>
      <w:r>
        <w:rPr>
          <w:rFonts w:hint="eastAsia" w:ascii="宋体" w:hAnsi="宋体" w:cs="宋体"/>
          <w:b w:val="0"/>
          <w:bCs/>
          <w:color w:val="auto"/>
          <w:sz w:val="24"/>
          <w:highlight w:val="none"/>
        </w:rPr>
        <w:t>（1）</w:t>
      </w:r>
      <w:r>
        <w:rPr>
          <w:rFonts w:ascii="宋体" w:hAnsi="宋体" w:cs="宋体"/>
          <w:b w:val="0"/>
          <w:bCs/>
          <w:color w:val="auto"/>
          <w:sz w:val="24"/>
          <w:highlight w:val="none"/>
        </w:rPr>
        <w:t>完整数据点表；</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（2）</w:t>
      </w:r>
      <w:r>
        <w:rPr>
          <w:rFonts w:ascii="宋体" w:hAnsi="宋体" w:cs="宋体"/>
          <w:b w:val="0"/>
          <w:bCs/>
          <w:color w:val="auto"/>
          <w:sz w:val="24"/>
          <w:highlight w:val="none"/>
        </w:rPr>
        <w:t>通信协议说明书；</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（3）</w:t>
      </w:r>
      <w:r>
        <w:rPr>
          <w:rFonts w:ascii="宋体" w:hAnsi="宋体" w:cs="宋体"/>
          <w:b w:val="0"/>
          <w:bCs/>
          <w:color w:val="auto"/>
          <w:sz w:val="24"/>
          <w:highlight w:val="none"/>
        </w:rPr>
        <w:t>报警、事件、异常代码表；</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（4）</w:t>
      </w:r>
      <w:r>
        <w:rPr>
          <w:rFonts w:ascii="宋体" w:hAnsi="宋体" w:cs="宋体"/>
          <w:b w:val="0"/>
          <w:bCs/>
          <w:color w:val="auto"/>
          <w:sz w:val="24"/>
          <w:highlight w:val="none"/>
        </w:rPr>
        <w:t>写入接口及执行反馈说明；</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（5）</w:t>
      </w:r>
      <w:r>
        <w:rPr>
          <w:rFonts w:ascii="宋体" w:hAnsi="宋体" w:cs="宋体"/>
          <w:b w:val="0"/>
          <w:bCs/>
          <w:color w:val="auto"/>
          <w:sz w:val="24"/>
          <w:highlight w:val="none"/>
        </w:rPr>
        <w:t>权限配置说明；</w:t>
      </w:r>
      <w:r>
        <w:rPr>
          <w:rFonts w:ascii="宋体" w:hAnsi="宋体" w:cs="宋体"/>
          <w:b w:val="0"/>
          <w:bCs/>
          <w:color w:val="auto"/>
          <w:sz w:val="24"/>
          <w:highlight w:val="none"/>
        </w:rPr>
        <w:br w:type="textWrapping"/>
      </w:r>
      <w:r>
        <w:rPr>
          <w:rFonts w:hint="eastAsia" w:ascii="宋体" w:hAnsi="宋体" w:cs="宋体"/>
          <w:b w:val="0"/>
          <w:bCs/>
          <w:color w:val="auto"/>
          <w:sz w:val="24"/>
          <w:highlight w:val="none"/>
        </w:rPr>
        <w:tab/>
      </w:r>
      <w:r>
        <w:rPr>
          <w:rFonts w:hint="eastAsia" w:ascii="宋体" w:hAnsi="宋体" w:cs="宋体"/>
          <w:b w:val="0"/>
          <w:bCs/>
          <w:color w:val="auto"/>
          <w:sz w:val="24"/>
          <w:highlight w:val="none"/>
        </w:rPr>
        <w:t>（6）</w:t>
      </w:r>
      <w:r>
        <w:rPr>
          <w:rFonts w:ascii="宋体" w:hAnsi="宋体" w:cs="宋体"/>
          <w:b w:val="0"/>
          <w:bCs/>
          <w:color w:val="auto"/>
          <w:sz w:val="24"/>
          <w:highlight w:val="none"/>
        </w:rPr>
        <w:t>联调测试报告。</w:t>
      </w:r>
    </w:p>
    <w:p w14:paraId="7F034B9B">
      <w:pPr>
        <w:rPr>
          <w:rFonts w:ascii="宋体" w:hAnsi="宋体" w:cs="宋体"/>
          <w:b w:val="0"/>
          <w:bCs/>
          <w:color w:val="auto"/>
          <w:sz w:val="32"/>
          <w:szCs w:val="32"/>
          <w:highlight w:val="none"/>
        </w:rPr>
      </w:pPr>
    </w:p>
    <w:p w14:paraId="7F034B9C">
      <w:pPr>
        <w:spacing w:line="440" w:lineRule="exact"/>
        <w:ind w:firstLine="420" w:firstLineChars="200"/>
        <w:rPr>
          <w:rFonts w:ascii="宋体" w:hAnsi="宋体" w:cs="宋体"/>
          <w:b w:val="0"/>
          <w:bCs/>
          <w:color w:val="auto"/>
          <w:szCs w:val="21"/>
          <w:highlight w:val="none"/>
        </w:rPr>
      </w:pPr>
    </w:p>
    <w:p w14:paraId="7F034B9D">
      <w:pPr>
        <w:spacing w:line="440" w:lineRule="exact"/>
        <w:ind w:firstLine="420" w:firstLineChars="200"/>
        <w:rPr>
          <w:rFonts w:ascii="宋体" w:hAnsi="宋体" w:cs="宋体"/>
          <w:b w:val="0"/>
          <w:bCs/>
          <w:color w:val="auto"/>
          <w:szCs w:val="21"/>
          <w:highlight w:val="none"/>
        </w:rPr>
      </w:pPr>
    </w:p>
    <w:p w14:paraId="7F034B9E">
      <w:pPr>
        <w:spacing w:line="440" w:lineRule="exact"/>
        <w:ind w:firstLine="420" w:firstLineChars="200"/>
        <w:rPr>
          <w:rFonts w:ascii="宋体" w:hAnsi="宋体" w:cs="宋体"/>
          <w:b w:val="0"/>
          <w:bCs/>
          <w:color w:val="auto"/>
          <w:szCs w:val="21"/>
          <w:highlight w:val="none"/>
        </w:rPr>
      </w:pPr>
    </w:p>
    <w:p w14:paraId="7F034B9F">
      <w:pPr>
        <w:spacing w:line="440" w:lineRule="exact"/>
        <w:ind w:firstLine="420" w:firstLineChars="200"/>
        <w:rPr>
          <w:rFonts w:ascii="宋体" w:hAnsi="宋体" w:cs="宋体"/>
          <w:b w:val="0"/>
          <w:bCs/>
          <w:color w:val="auto"/>
          <w:szCs w:val="21"/>
          <w:highlight w:val="none"/>
        </w:rPr>
      </w:pPr>
    </w:p>
    <w:p w14:paraId="7F034BA0">
      <w:pPr>
        <w:spacing w:line="440" w:lineRule="exact"/>
        <w:ind w:firstLine="420" w:firstLineChars="200"/>
        <w:rPr>
          <w:rFonts w:ascii="宋体" w:hAnsi="宋体" w:cs="宋体"/>
          <w:b w:val="0"/>
          <w:bCs/>
          <w:color w:val="auto"/>
          <w:szCs w:val="21"/>
          <w:highlight w:val="none"/>
        </w:rPr>
      </w:pPr>
    </w:p>
    <w:p w14:paraId="7F034BA1">
      <w:pPr>
        <w:spacing w:line="440" w:lineRule="exact"/>
        <w:ind w:firstLine="420" w:firstLineChars="200"/>
        <w:rPr>
          <w:rFonts w:ascii="宋体" w:hAnsi="宋体" w:cs="宋体"/>
          <w:b w:val="0"/>
          <w:bCs/>
          <w:color w:val="auto"/>
          <w:szCs w:val="21"/>
          <w:highlight w:val="none"/>
        </w:rPr>
      </w:pPr>
    </w:p>
    <w:p w14:paraId="7F034BA2">
      <w:pPr>
        <w:spacing w:line="440" w:lineRule="exact"/>
        <w:ind w:firstLine="420" w:firstLineChars="200"/>
        <w:rPr>
          <w:rFonts w:ascii="宋体" w:hAnsi="宋体" w:cs="宋体"/>
          <w:b w:val="0"/>
          <w:bCs/>
          <w:color w:val="auto"/>
          <w:szCs w:val="21"/>
          <w:highlight w:val="none"/>
        </w:rPr>
      </w:pPr>
    </w:p>
    <w:p w14:paraId="7F034BA3">
      <w:pPr>
        <w:spacing w:line="440" w:lineRule="exact"/>
        <w:ind w:firstLine="420" w:firstLineChars="200"/>
        <w:rPr>
          <w:rFonts w:ascii="宋体" w:hAnsi="宋体" w:cs="宋体"/>
          <w:b w:val="0"/>
          <w:bCs/>
          <w:color w:val="auto"/>
          <w:szCs w:val="21"/>
          <w:highlight w:val="none"/>
        </w:rPr>
      </w:pPr>
    </w:p>
    <w:p w14:paraId="7F034BA4">
      <w:pPr>
        <w:spacing w:line="440" w:lineRule="exact"/>
        <w:ind w:firstLine="420" w:firstLineChars="200"/>
        <w:rPr>
          <w:rFonts w:ascii="宋体" w:hAnsi="宋体" w:cs="宋体"/>
          <w:b w:val="0"/>
          <w:bCs/>
          <w:color w:val="auto"/>
          <w:szCs w:val="21"/>
          <w:highlight w:val="none"/>
        </w:rPr>
      </w:pPr>
    </w:p>
    <w:p w14:paraId="7F034BA5">
      <w:pPr>
        <w:spacing w:line="440" w:lineRule="exact"/>
        <w:ind w:firstLine="420" w:firstLineChars="200"/>
        <w:rPr>
          <w:rFonts w:ascii="宋体" w:hAnsi="宋体" w:cs="宋体"/>
          <w:b w:val="0"/>
          <w:bCs/>
          <w:color w:val="auto"/>
          <w:szCs w:val="21"/>
          <w:highlight w:val="none"/>
        </w:rPr>
      </w:pPr>
    </w:p>
    <w:p w14:paraId="7F034BA6">
      <w:pPr>
        <w:spacing w:line="440" w:lineRule="exact"/>
        <w:ind w:firstLine="420" w:firstLineChars="200"/>
        <w:rPr>
          <w:rFonts w:ascii="宋体" w:hAnsi="宋体" w:cs="宋体"/>
          <w:b w:val="0"/>
          <w:bCs/>
          <w:color w:val="auto"/>
          <w:szCs w:val="21"/>
          <w:highlight w:val="none"/>
        </w:rPr>
      </w:pPr>
    </w:p>
    <w:p w14:paraId="7F034BA7">
      <w:pPr>
        <w:spacing w:line="440" w:lineRule="exact"/>
        <w:ind w:firstLine="420" w:firstLineChars="200"/>
        <w:rPr>
          <w:rFonts w:ascii="宋体" w:hAnsi="宋体" w:cs="宋体"/>
          <w:b w:val="0"/>
          <w:bCs/>
          <w:color w:val="auto"/>
          <w:szCs w:val="21"/>
          <w:highlight w:val="none"/>
        </w:rPr>
      </w:pPr>
    </w:p>
    <w:p w14:paraId="7F034BA8">
      <w:pPr>
        <w:spacing w:line="440" w:lineRule="exact"/>
        <w:ind w:firstLine="420" w:firstLineChars="200"/>
        <w:rPr>
          <w:rFonts w:ascii="宋体" w:hAnsi="宋体" w:cs="宋体"/>
          <w:b w:val="0"/>
          <w:bCs/>
          <w:color w:val="auto"/>
          <w:szCs w:val="21"/>
          <w:highlight w:val="none"/>
        </w:rPr>
      </w:pPr>
    </w:p>
    <w:p w14:paraId="7F034BA9">
      <w:pPr>
        <w:spacing w:line="440" w:lineRule="exact"/>
        <w:ind w:firstLine="420" w:firstLineChars="200"/>
        <w:rPr>
          <w:rFonts w:ascii="宋体" w:hAnsi="宋体" w:cs="宋体"/>
          <w:b w:val="0"/>
          <w:bCs/>
          <w:color w:val="auto"/>
          <w:szCs w:val="21"/>
          <w:highlight w:val="none"/>
        </w:rPr>
      </w:pPr>
    </w:p>
    <w:p w14:paraId="7F034BAA">
      <w:pPr>
        <w:spacing w:line="440" w:lineRule="exact"/>
        <w:ind w:firstLine="420" w:firstLineChars="200"/>
        <w:rPr>
          <w:rFonts w:ascii="宋体" w:hAnsi="宋体" w:cs="宋体"/>
          <w:b w:val="0"/>
          <w:bCs/>
          <w:color w:val="auto"/>
          <w:szCs w:val="21"/>
          <w:highlight w:val="none"/>
        </w:rPr>
      </w:pPr>
    </w:p>
    <w:p w14:paraId="7F034BAB">
      <w:pPr>
        <w:spacing w:line="440" w:lineRule="exact"/>
        <w:ind w:firstLine="420" w:firstLineChars="200"/>
        <w:rPr>
          <w:rFonts w:ascii="宋体" w:hAnsi="宋体" w:cs="宋体"/>
          <w:b w:val="0"/>
          <w:bCs/>
          <w:color w:val="auto"/>
          <w:szCs w:val="21"/>
          <w:highlight w:val="none"/>
        </w:rPr>
      </w:pPr>
    </w:p>
    <w:p w14:paraId="7F034BAC">
      <w:pPr>
        <w:spacing w:line="440" w:lineRule="exact"/>
        <w:ind w:firstLine="420" w:firstLineChars="200"/>
        <w:rPr>
          <w:rFonts w:ascii="宋体" w:hAnsi="宋体" w:cs="宋体"/>
          <w:b w:val="0"/>
          <w:bCs/>
          <w:color w:val="auto"/>
          <w:szCs w:val="21"/>
          <w:highlight w:val="none"/>
        </w:rPr>
      </w:pPr>
    </w:p>
    <w:p w14:paraId="7F034BAD">
      <w:pPr>
        <w:spacing w:line="440" w:lineRule="exact"/>
        <w:ind w:firstLine="420" w:firstLineChars="200"/>
        <w:rPr>
          <w:rFonts w:ascii="宋体" w:hAnsi="宋体" w:cs="宋体"/>
          <w:b w:val="0"/>
          <w:bCs/>
          <w:color w:val="auto"/>
          <w:szCs w:val="21"/>
          <w:highlight w:val="none"/>
        </w:rPr>
      </w:pPr>
    </w:p>
    <w:p w14:paraId="7F034BAE">
      <w:pPr>
        <w:spacing w:line="440" w:lineRule="exact"/>
        <w:ind w:firstLine="420" w:firstLineChars="200"/>
        <w:rPr>
          <w:rFonts w:ascii="宋体" w:hAnsi="宋体" w:cs="宋体"/>
          <w:b w:val="0"/>
          <w:bCs/>
          <w:color w:val="auto"/>
          <w:szCs w:val="21"/>
          <w:highlight w:val="none"/>
        </w:rPr>
      </w:pPr>
    </w:p>
    <w:p w14:paraId="7F034BAF">
      <w:pPr>
        <w:spacing w:line="440" w:lineRule="exact"/>
        <w:ind w:firstLine="420" w:firstLineChars="200"/>
        <w:rPr>
          <w:rFonts w:ascii="宋体" w:hAnsi="宋体" w:cs="宋体"/>
          <w:b w:val="0"/>
          <w:bCs/>
          <w:color w:val="auto"/>
          <w:szCs w:val="21"/>
          <w:highlight w:val="none"/>
        </w:rPr>
      </w:pPr>
    </w:p>
    <w:p w14:paraId="7F034BB0">
      <w:pPr>
        <w:spacing w:line="440" w:lineRule="exact"/>
        <w:ind w:firstLine="420" w:firstLineChars="200"/>
        <w:rPr>
          <w:rFonts w:ascii="宋体" w:hAnsi="宋体" w:cs="宋体"/>
          <w:b w:val="0"/>
          <w:bCs/>
          <w:color w:val="auto"/>
          <w:szCs w:val="21"/>
          <w:highlight w:val="none"/>
        </w:rPr>
      </w:pPr>
    </w:p>
    <w:p w14:paraId="7F034BB1">
      <w:pPr>
        <w:spacing w:line="440" w:lineRule="exact"/>
        <w:ind w:firstLine="420" w:firstLineChars="200"/>
        <w:rPr>
          <w:rFonts w:ascii="宋体" w:hAnsi="宋体" w:cs="宋体"/>
          <w:b w:val="0"/>
          <w:bCs/>
          <w:color w:val="auto"/>
          <w:szCs w:val="21"/>
          <w:highlight w:val="none"/>
        </w:rPr>
      </w:pPr>
    </w:p>
    <w:p w14:paraId="7F034BB2">
      <w:pPr>
        <w:spacing w:line="440" w:lineRule="exact"/>
        <w:ind w:firstLine="420" w:firstLineChars="200"/>
        <w:rPr>
          <w:rFonts w:ascii="宋体" w:hAnsi="宋体" w:cs="宋体"/>
          <w:b w:val="0"/>
          <w:bCs/>
          <w:color w:val="auto"/>
          <w:szCs w:val="21"/>
          <w:highlight w:val="none"/>
        </w:rPr>
      </w:pPr>
    </w:p>
    <w:p w14:paraId="7F034BB3">
      <w:pPr>
        <w:spacing w:line="440" w:lineRule="exact"/>
        <w:ind w:firstLine="420" w:firstLineChars="200"/>
        <w:rPr>
          <w:rFonts w:ascii="宋体" w:hAnsi="宋体" w:cs="宋体"/>
          <w:b w:val="0"/>
          <w:bCs/>
          <w:color w:val="auto"/>
          <w:szCs w:val="21"/>
          <w:highlight w:val="none"/>
        </w:rPr>
      </w:pPr>
    </w:p>
    <w:p w14:paraId="7F034BB4">
      <w:pPr>
        <w:spacing w:line="440" w:lineRule="exact"/>
        <w:ind w:firstLine="420" w:firstLineChars="200"/>
        <w:rPr>
          <w:rFonts w:ascii="宋体" w:hAnsi="宋体" w:cs="宋体"/>
          <w:b w:val="0"/>
          <w:bCs/>
          <w:color w:val="auto"/>
          <w:szCs w:val="21"/>
          <w:highlight w:val="none"/>
        </w:rPr>
      </w:pPr>
    </w:p>
    <w:p w14:paraId="7F034BB5">
      <w:pPr>
        <w:spacing w:line="440" w:lineRule="exact"/>
        <w:ind w:firstLine="420" w:firstLineChars="200"/>
        <w:rPr>
          <w:rFonts w:ascii="宋体" w:hAnsi="宋体" w:cs="宋体"/>
          <w:b w:val="0"/>
          <w:bCs/>
          <w:color w:val="auto"/>
          <w:szCs w:val="21"/>
          <w:highlight w:val="none"/>
        </w:rPr>
      </w:pPr>
    </w:p>
    <w:p w14:paraId="7F034BB6">
      <w:pPr>
        <w:spacing w:line="360" w:lineRule="auto"/>
        <w:jc w:val="center"/>
        <w:rPr>
          <w:rFonts w:ascii="宋体" w:hAnsi="宋体" w:cs="宋体"/>
          <w:b w:val="0"/>
          <w:bCs/>
          <w:color w:val="auto"/>
          <w:sz w:val="24"/>
          <w:highlight w:val="none"/>
        </w:rPr>
      </w:pPr>
      <w:r>
        <w:rPr>
          <w:rFonts w:hint="eastAsia" w:ascii="宋体" w:hAnsi="宋体" w:cs="宋体"/>
          <w:b w:val="0"/>
          <w:bCs/>
          <w:color w:val="auto"/>
          <w:sz w:val="28"/>
          <w:szCs w:val="28"/>
          <w:highlight w:val="none"/>
        </w:rPr>
        <w:t>（三）冷坩埚悬浮熔炼炉（</w:t>
      </w:r>
      <w:r>
        <w:rPr>
          <w:rFonts w:ascii="宋体" w:hAnsi="宋体" w:cs="宋体"/>
          <w:b w:val="0"/>
          <w:bCs/>
          <w:color w:val="auto"/>
          <w:sz w:val="28"/>
          <w:szCs w:val="28"/>
          <w:highlight w:val="none"/>
        </w:rPr>
        <w:t xml:space="preserve"> Fe  </w:t>
      </w:r>
      <w:r>
        <w:rPr>
          <w:rFonts w:hint="eastAsia" w:ascii="宋体" w:hAnsi="宋体" w:cs="宋体"/>
          <w:b w:val="0"/>
          <w:bCs/>
          <w:color w:val="auto"/>
          <w:sz w:val="28"/>
          <w:szCs w:val="28"/>
          <w:highlight w:val="none"/>
        </w:rPr>
        <w:t>50Kg）</w:t>
      </w:r>
    </w:p>
    <w:p w14:paraId="7F034BB7">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1、目的</w:t>
      </w:r>
    </w:p>
    <w:p w14:paraId="7F034BB8">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本技术要求作为1台50kg（Fe）冷坩埚悬浮熔炼成套设备标书制作、招投标、安装、调试及验收的主要依据。</w:t>
      </w:r>
    </w:p>
    <w:p w14:paraId="7F034BB9">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2、范围</w:t>
      </w:r>
    </w:p>
    <w:p w14:paraId="7F034BBA">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本技术要求适用于50kg冷坩埚悬浮熔炼成套设备标书制作、招投标、安装、调试、验收及正常生产使用（质保期内）的所有过程。</w:t>
      </w:r>
    </w:p>
    <w:p w14:paraId="7F034BBB">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3、设备主要用途和概述</w:t>
      </w:r>
    </w:p>
    <w:p w14:paraId="7F034BBC">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该设备具备倾翻铸造功能，可熔炼的材料以钛基合金为主，包括钛合金、NiTi合金、TiAl合金及Ti2AlNb合金等，另外兼顾高熵合金、铌钼合金、铜合金等熔炼。本设备最大熔炼量为50kg（以钢的密度计），最高熔炼温度＞2600℃（以熔化钽</w:t>
      </w:r>
      <w:r>
        <w:rPr>
          <w:rFonts w:ascii="宋体" w:hAnsi="宋体" w:cs="宋体"/>
          <w:b w:val="0"/>
          <w:bCs/>
          <w:color w:val="auto"/>
          <w:sz w:val="24"/>
          <w:highlight w:val="none"/>
        </w:rPr>
        <w:t>Nb</w:t>
      </w:r>
      <w:r>
        <w:rPr>
          <w:rFonts w:hint="eastAsia" w:ascii="宋体" w:hAnsi="宋体" w:cs="宋体"/>
          <w:b w:val="0"/>
          <w:bCs/>
          <w:color w:val="auto"/>
          <w:sz w:val="24"/>
          <w:highlight w:val="none"/>
        </w:rPr>
        <w:t>为标准）。提供安全可靠自动化程度高的整套真空悬浮熔炼设备。</w:t>
      </w:r>
    </w:p>
    <w:p w14:paraId="7F034BBD">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4、设备总体要求</w:t>
      </w:r>
    </w:p>
    <w:p w14:paraId="7F034BB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4.1</w:t>
      </w:r>
      <w:r>
        <w:rPr>
          <w:rFonts w:hint="eastAsia" w:ascii="宋体" w:hAnsi="宋体" w:cs="宋体"/>
          <w:b w:val="0"/>
          <w:bCs/>
          <w:color w:val="auto"/>
          <w:sz w:val="24"/>
          <w:highlight w:val="none"/>
        </w:rPr>
        <w:t>本设备为冷坩埚悬浮熔炼炉，具备倾翻铸造+离心浇注功能，可实现钛基合金、铌钼合金、高熵合金等材料的氩气保护下悬浮熔炼，设备整体运行安全可靠、悬浮力和搅拌力强、自动化程度高，满足连续生产及工艺试验需求。</w:t>
      </w:r>
    </w:p>
    <w:p w14:paraId="7F034BB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4.2</w:t>
      </w:r>
      <w:r>
        <w:rPr>
          <w:rFonts w:hint="eastAsia" w:ascii="宋体" w:hAnsi="宋体" w:cs="宋体"/>
          <w:b w:val="0"/>
          <w:bCs/>
          <w:color w:val="auto"/>
          <w:sz w:val="24"/>
          <w:highlight w:val="none"/>
        </w:rPr>
        <w:t>设备最大熔炼量50kg（以金属Fe密度计），最高熔炼温度＞2600℃（以熔化钽</w:t>
      </w:r>
      <w:r>
        <w:rPr>
          <w:rFonts w:ascii="宋体" w:hAnsi="宋体" w:cs="宋体"/>
          <w:b w:val="0"/>
          <w:bCs/>
          <w:color w:val="auto"/>
          <w:sz w:val="24"/>
          <w:highlight w:val="none"/>
        </w:rPr>
        <w:t>Nb</w:t>
      </w:r>
      <w:r>
        <w:rPr>
          <w:rFonts w:hint="eastAsia" w:ascii="宋体" w:hAnsi="宋体" w:cs="宋体"/>
          <w:b w:val="0"/>
          <w:bCs/>
          <w:color w:val="auto"/>
          <w:sz w:val="24"/>
          <w:highlight w:val="none"/>
        </w:rPr>
        <w:t>为标准），全系统符合国家相关机械、电气、真空、冶金设备的国家标准、行业标准及安全规范。</w:t>
      </w:r>
    </w:p>
    <w:p w14:paraId="7F034BC0">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设备整体由炉体、感应电源、冷坩埚熔炼倾铸系统、翻转进电系统、操作机构、驱动系统、真空和氩气系统、水冷系统（闭式静音）、控制和安全保护系统、离心浇注系统组成，各系统间匹配性良好，联动运行稳定。</w:t>
      </w:r>
    </w:p>
    <w:p w14:paraId="7F034BC1">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设备所有接触高温、真空、腐蚀性介质的部件采用优质耐温、耐腐、高强度材料，关键配套部件（真空系统、PLC、传感器等）需采用国际/国内知名品牌，投标方需在投标文件中列明关键部件品牌、型号及技术参数。</w:t>
      </w:r>
    </w:p>
    <w:p w14:paraId="7F034BC2">
      <w:pPr>
        <w:spacing w:line="480" w:lineRule="exact"/>
        <w:ind w:firstLine="480" w:firstLineChars="200"/>
        <w:rPr>
          <w:rFonts w:ascii="宋体" w:hAnsi="宋体" w:cs="宋体"/>
          <w:b w:val="0"/>
          <w:bCs/>
          <w:color w:val="auto"/>
          <w:spacing w:val="10"/>
          <w:sz w:val="24"/>
          <w:highlight w:val="none"/>
        </w:rPr>
      </w:pPr>
      <w:r>
        <w:rPr>
          <w:rFonts w:hint="eastAsia" w:ascii="宋体" w:hAnsi="宋体" w:cs="宋体"/>
          <w:b w:val="0"/>
          <w:bCs/>
          <w:color w:val="auto"/>
          <w:sz w:val="24"/>
          <w:highlight w:val="none"/>
        </w:rPr>
        <w:t>乙方提供投标技术方案时，应同时对设备的结构系统、机械系统、液压系统、电气系统、控制系统和其他部分的主要构件、电气部件等的如材料牌号、关键制造工艺过程/方法、型号规格、品牌、数量，等信息进行说明。设备选型优先选用《国家重点节能低碳技术推广目录》中的节能技术和设备。</w:t>
      </w:r>
      <w:r>
        <w:rPr>
          <w:rFonts w:hint="eastAsia" w:ascii="宋体" w:hAnsi="宋体" w:cs="宋体"/>
          <w:b w:val="0"/>
          <w:bCs/>
          <w:color w:val="auto"/>
          <w:spacing w:val="10"/>
          <w:sz w:val="24"/>
          <w:highlight w:val="none"/>
        </w:rPr>
        <w:t>配套的电机、油泵、重要轴承、液压油管、控制电器、电磁阀、密封等部件，均应选用国内或国际知名品牌产品，并在投标方案中注明品牌。</w:t>
      </w:r>
    </w:p>
    <w:p w14:paraId="7F034BC3">
      <w:pPr>
        <w:spacing w:line="480" w:lineRule="exact"/>
        <w:ind w:firstLine="520" w:firstLineChars="200"/>
        <w:rPr>
          <w:rFonts w:ascii="宋体" w:hAnsi="宋体" w:cs="宋体"/>
          <w:b w:val="0"/>
          <w:bCs/>
          <w:color w:val="auto"/>
          <w:spacing w:val="10"/>
          <w:sz w:val="24"/>
          <w:highlight w:val="none"/>
        </w:rPr>
      </w:pPr>
      <w:r>
        <w:rPr>
          <w:rFonts w:hint="eastAsia" w:ascii="宋体" w:hAnsi="宋体" w:cs="宋体"/>
          <w:b w:val="0"/>
          <w:bCs/>
          <w:color w:val="auto"/>
          <w:spacing w:val="10"/>
          <w:sz w:val="24"/>
          <w:highlight w:val="none"/>
        </w:rPr>
        <w:t>乙方应全力配合甲方进行数据采集、集控以及产线自动化、数字化改造的相关工作，包括但不限于免费开放寄存器地址寄数据类型等。详见附录1。</w:t>
      </w:r>
    </w:p>
    <w:p w14:paraId="7F034BC4">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5、核心技术参数要求</w:t>
      </w:r>
    </w:p>
    <w:p w14:paraId="7F034BC5">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5.1</w:t>
      </w:r>
      <w:r>
        <w:rPr>
          <w:rFonts w:hint="eastAsia" w:ascii="宋体" w:hAnsi="宋体" w:cs="宋体"/>
          <w:b w:val="0"/>
          <w:bCs/>
          <w:color w:val="auto"/>
          <w:sz w:val="24"/>
          <w:highlight w:val="none"/>
        </w:rPr>
        <w:t>炉体参数</w:t>
      </w:r>
    </w:p>
    <w:p w14:paraId="7F034BC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5.1.1</w:t>
      </w:r>
      <w:r>
        <w:rPr>
          <w:rFonts w:hint="eastAsia" w:ascii="宋体" w:hAnsi="宋体" w:cs="宋体"/>
          <w:b w:val="0"/>
          <w:bCs/>
          <w:color w:val="auto"/>
          <w:sz w:val="24"/>
          <w:highlight w:val="none"/>
        </w:rPr>
        <w:t>熔炼室为立式圆柱体，双层304不锈钢材质，内外表面精密抛光，夹层通水冷却且设加强筋，内径≥1500mm（最终设计尺寸需书面确认）；</w:t>
      </w:r>
    </w:p>
    <w:p w14:paraId="7F034BC7">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5.1.2</w:t>
      </w:r>
      <w:r>
        <w:rPr>
          <w:rFonts w:hint="eastAsia" w:ascii="宋体" w:hAnsi="宋体" w:cs="宋体"/>
          <w:b w:val="0"/>
          <w:bCs/>
          <w:color w:val="auto"/>
          <w:sz w:val="24"/>
          <w:highlight w:val="none"/>
        </w:rPr>
        <w:t>配备弹簧式+电磁式双结构防爆安全阀，另设辅助手动泄压放气阀，炉体压力超限可自动/手动泄压；</w:t>
      </w:r>
    </w:p>
    <w:p w14:paraId="7F034BC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5.1.3</w:t>
      </w:r>
      <w:r>
        <w:rPr>
          <w:rFonts w:hint="eastAsia" w:ascii="宋体" w:hAnsi="宋体" w:cs="宋体"/>
          <w:b w:val="0"/>
          <w:bCs/>
          <w:color w:val="auto"/>
          <w:sz w:val="24"/>
          <w:highlight w:val="none"/>
        </w:rPr>
        <w:t>炉体集成测温杆、捣料杆、加料器等接口，所有接口均做真空密封处理，满足真空熔炼密封要求。</w:t>
      </w:r>
    </w:p>
    <w:p w14:paraId="7F034BC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5.2</w:t>
      </w:r>
      <w:r>
        <w:rPr>
          <w:rFonts w:hint="eastAsia" w:ascii="宋体" w:hAnsi="宋体" w:cs="宋体"/>
          <w:b w:val="0"/>
          <w:bCs/>
          <w:color w:val="auto"/>
          <w:sz w:val="24"/>
          <w:highlight w:val="none"/>
        </w:rPr>
        <w:t>冷坩埚及熔炼参数</w:t>
      </w:r>
    </w:p>
    <w:p w14:paraId="7F034BC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5.2.1</w:t>
      </w:r>
      <w:r>
        <w:rPr>
          <w:rFonts w:hint="eastAsia" w:ascii="宋体" w:hAnsi="宋体" w:cs="宋体"/>
          <w:b w:val="0"/>
          <w:bCs/>
          <w:color w:val="auto"/>
          <w:sz w:val="24"/>
          <w:highlight w:val="none"/>
        </w:rPr>
        <w:t>配置两种规格水冷无氧铜冷坩埚，坩埚残余量≤1</w:t>
      </w:r>
      <w:r>
        <w:rPr>
          <w:rFonts w:ascii="宋体" w:hAnsi="宋体" w:cs="宋体"/>
          <w:b w:val="0"/>
          <w:bCs/>
          <w:color w:val="auto"/>
          <w:sz w:val="24"/>
          <w:highlight w:val="none"/>
        </w:rPr>
        <w:t>2</w:t>
      </w:r>
      <w:r>
        <w:rPr>
          <w:rFonts w:hint="eastAsia" w:ascii="宋体" w:hAnsi="宋体" w:cs="宋体"/>
          <w:b w:val="0"/>
          <w:bCs/>
          <w:color w:val="auto"/>
          <w:sz w:val="24"/>
          <w:highlight w:val="none"/>
        </w:rPr>
        <w:t>%，具体参数需满足：</w:t>
      </w:r>
    </w:p>
    <w:p w14:paraId="7F034BCB">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大坩埚熔炼量50kg（Fe计），额定工作温度2100℃；</w:t>
      </w:r>
    </w:p>
    <w:p w14:paraId="7F034BCC">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小坩埚熔炼量＞8kg(Fe计）,额定工作温度＞2600℃</w:t>
      </w:r>
    </w:p>
    <w:p w14:paraId="7F034BCD">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5.2.2</w:t>
      </w:r>
      <w:r>
        <w:rPr>
          <w:rFonts w:hint="eastAsia" w:ascii="宋体" w:hAnsi="宋体" w:cs="宋体"/>
          <w:b w:val="0"/>
          <w:bCs/>
          <w:color w:val="auto"/>
          <w:sz w:val="24"/>
          <w:highlight w:val="none"/>
        </w:rPr>
        <w:t>坩埚回水温度＜</w:t>
      </w:r>
      <w:r>
        <w:rPr>
          <w:rFonts w:ascii="宋体" w:hAnsi="宋体" w:cs="宋体"/>
          <w:b w:val="0"/>
          <w:bCs/>
          <w:color w:val="auto"/>
          <w:sz w:val="24"/>
          <w:highlight w:val="none"/>
        </w:rPr>
        <w:t>5</w:t>
      </w:r>
      <w:r>
        <w:rPr>
          <w:rFonts w:hint="eastAsia" w:ascii="宋体" w:hAnsi="宋体" w:cs="宋体"/>
          <w:b w:val="0"/>
          <w:bCs/>
          <w:color w:val="auto"/>
          <w:sz w:val="24"/>
          <w:highlight w:val="none"/>
        </w:rPr>
        <w:t>0℃，采用自上而下完全开缝分瓣结构，外壁包裹耐高温高绝缘材料，避免真空下放电；</w:t>
      </w:r>
    </w:p>
    <w:p w14:paraId="7F034BC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5.2.3</w:t>
      </w:r>
      <w:r>
        <w:rPr>
          <w:rFonts w:hint="eastAsia" w:ascii="宋体" w:hAnsi="宋体" w:cs="宋体"/>
          <w:b w:val="0"/>
          <w:bCs/>
          <w:color w:val="auto"/>
          <w:sz w:val="24"/>
          <w:highlight w:val="none"/>
        </w:rPr>
        <w:t>坩埚回水温度＜</w:t>
      </w:r>
      <w:r>
        <w:rPr>
          <w:rFonts w:ascii="宋体" w:hAnsi="宋体" w:cs="宋体"/>
          <w:b w:val="0"/>
          <w:bCs/>
          <w:color w:val="auto"/>
          <w:sz w:val="24"/>
          <w:highlight w:val="none"/>
        </w:rPr>
        <w:t>5</w:t>
      </w:r>
      <w:r>
        <w:rPr>
          <w:rFonts w:hint="eastAsia" w:ascii="宋体" w:hAnsi="宋体" w:cs="宋体"/>
          <w:b w:val="0"/>
          <w:bCs/>
          <w:color w:val="auto"/>
          <w:sz w:val="24"/>
          <w:highlight w:val="none"/>
        </w:rPr>
        <w:t>0℃，采用自上而下完全开缝分瓣结构，外壁包裹耐高温高绝缘材料，避免真空下放电；</w:t>
      </w:r>
    </w:p>
    <w:p w14:paraId="7F034BC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5.3</w:t>
      </w:r>
      <w:r>
        <w:rPr>
          <w:rFonts w:hint="eastAsia" w:ascii="宋体" w:hAnsi="宋体" w:cs="宋体"/>
          <w:b w:val="0"/>
          <w:bCs/>
          <w:color w:val="auto"/>
          <w:sz w:val="24"/>
          <w:highlight w:val="none"/>
        </w:rPr>
        <w:t>感应电源参数</w:t>
      </w:r>
    </w:p>
    <w:p w14:paraId="7F034BD0">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5.3.1</w:t>
      </w:r>
      <w:r>
        <w:rPr>
          <w:rFonts w:hint="eastAsia" w:ascii="宋体" w:hAnsi="宋体" w:cs="宋体"/>
          <w:b w:val="0"/>
          <w:bCs/>
          <w:color w:val="auto"/>
          <w:sz w:val="24"/>
          <w:highlight w:val="none"/>
        </w:rPr>
        <w:t>采用IGBT感应电源，熔炼效率＞95%，频率可根据物料变化自动跟踪并调整至最佳状态；</w:t>
      </w:r>
    </w:p>
    <w:p w14:paraId="7F034BD1">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支持“自动/手动”双控制模式，自动模式下可通过红外测温信号实现熔炼温度闭环控制；</w:t>
      </w:r>
    </w:p>
    <w:p w14:paraId="7F034BD2">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5.3.3</w:t>
      </w:r>
      <w:r>
        <w:rPr>
          <w:rFonts w:hint="eastAsia" w:ascii="宋体" w:hAnsi="宋体" w:cs="宋体"/>
          <w:b w:val="0"/>
          <w:bCs/>
          <w:color w:val="auto"/>
          <w:sz w:val="24"/>
          <w:highlight w:val="none"/>
        </w:rPr>
        <w:t>具备过流、过压、欠压、缺相、冷却水故障等报警保护功能，故障时自动停机，电源回水温度＜</w:t>
      </w:r>
      <w:r>
        <w:rPr>
          <w:rFonts w:ascii="宋体" w:hAnsi="宋体" w:cs="宋体"/>
          <w:b w:val="0"/>
          <w:bCs/>
          <w:color w:val="auto"/>
          <w:sz w:val="24"/>
          <w:highlight w:val="none"/>
        </w:rPr>
        <w:t>50</w:t>
      </w:r>
      <w:r>
        <w:rPr>
          <w:rFonts w:hint="eastAsia" w:ascii="宋体" w:hAnsi="宋体" w:cs="宋体"/>
          <w:b w:val="0"/>
          <w:bCs/>
          <w:color w:val="auto"/>
          <w:sz w:val="24"/>
          <w:highlight w:val="none"/>
        </w:rPr>
        <w:t>℃。</w:t>
      </w:r>
    </w:p>
    <w:p w14:paraId="7F034BD3">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5.4</w:t>
      </w:r>
      <w:r>
        <w:rPr>
          <w:rFonts w:hint="eastAsia" w:ascii="宋体" w:hAnsi="宋体" w:cs="宋体"/>
          <w:b w:val="0"/>
          <w:bCs/>
          <w:color w:val="auto"/>
          <w:sz w:val="24"/>
          <w:highlight w:val="none"/>
        </w:rPr>
        <w:t>真空及氩气系统参数</w:t>
      </w:r>
    </w:p>
    <w:p w14:paraId="7F034BD4">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5.4.1</w:t>
      </w:r>
      <w:r>
        <w:rPr>
          <w:rFonts w:hint="eastAsia" w:ascii="宋体" w:hAnsi="宋体" w:cs="宋体"/>
          <w:b w:val="0"/>
          <w:bCs/>
          <w:color w:val="auto"/>
          <w:sz w:val="24"/>
          <w:highlight w:val="none"/>
        </w:rPr>
        <w:t>真空系统采用知名品牌，配置滑阀泵/旋片泵+罗茨泵+扩散泵极限真空≤</w:t>
      </w:r>
      <w:r>
        <w:rPr>
          <w:rFonts w:ascii="宋体" w:hAnsi="宋体" w:cs="宋体"/>
          <w:b w:val="0"/>
          <w:bCs/>
          <w:color w:val="auto"/>
          <w:sz w:val="24"/>
          <w:highlight w:val="none"/>
        </w:rPr>
        <w:t>1×10⁻⁴Pa</w:t>
      </w:r>
      <w:r>
        <w:rPr>
          <w:rFonts w:hint="eastAsia" w:ascii="宋体" w:hAnsi="宋体" w:cs="宋体"/>
          <w:b w:val="0"/>
          <w:bCs/>
          <w:color w:val="auto"/>
          <w:sz w:val="24"/>
          <w:highlight w:val="none"/>
        </w:rPr>
        <w:t>（空炉、冷态），熔前真空≤</w:t>
      </w:r>
      <w:r>
        <w:rPr>
          <w:rFonts w:ascii="宋体" w:hAnsi="宋体" w:cs="宋体"/>
          <w:b w:val="0"/>
          <w:bCs/>
          <w:color w:val="auto"/>
          <w:sz w:val="24"/>
          <w:highlight w:val="none"/>
        </w:rPr>
        <w:t>5.0×10⁻³Pa</w:t>
      </w:r>
      <w:r>
        <w:rPr>
          <w:rFonts w:hint="eastAsia" w:ascii="宋体" w:hAnsi="宋体" w:cs="宋体"/>
          <w:b w:val="0"/>
          <w:bCs/>
          <w:color w:val="auto"/>
          <w:sz w:val="24"/>
          <w:highlight w:val="none"/>
        </w:rPr>
        <w:t>，压升率＜1</w:t>
      </w:r>
      <w:r>
        <w:rPr>
          <w:rFonts w:ascii="宋体" w:hAnsi="宋体" w:cs="宋体"/>
          <w:b w:val="0"/>
          <w:bCs/>
          <w:color w:val="auto"/>
          <w:sz w:val="24"/>
          <w:highlight w:val="none"/>
        </w:rPr>
        <w:t>Pa/h</w:t>
      </w:r>
      <w:r>
        <w:rPr>
          <w:rFonts w:hint="eastAsia" w:ascii="宋体" w:hAnsi="宋体" w:cs="宋体"/>
          <w:b w:val="0"/>
          <w:bCs/>
          <w:color w:val="auto"/>
          <w:sz w:val="24"/>
          <w:highlight w:val="none"/>
        </w:rPr>
        <w:t>（空炉、冷态）；</w:t>
      </w:r>
    </w:p>
    <w:p w14:paraId="7F034BD5">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5.4.2</w:t>
      </w:r>
      <w:r>
        <w:rPr>
          <w:rFonts w:hint="eastAsia" w:ascii="宋体" w:hAnsi="宋体" w:cs="宋体"/>
          <w:b w:val="0"/>
          <w:bCs/>
          <w:color w:val="auto"/>
          <w:sz w:val="24"/>
          <w:highlight w:val="none"/>
        </w:rPr>
        <w:t>工作气氛为氩气保护熔炼，氩气工作压力≤0.015M</w:t>
      </w:r>
      <w:r>
        <w:rPr>
          <w:rFonts w:ascii="宋体" w:hAnsi="宋体" w:cs="宋体"/>
          <w:b w:val="0"/>
          <w:bCs/>
          <w:color w:val="auto"/>
          <w:sz w:val="24"/>
          <w:highlight w:val="none"/>
        </w:rPr>
        <w:t>P</w:t>
      </w:r>
      <w:r>
        <w:rPr>
          <w:rFonts w:hint="eastAsia" w:ascii="宋体" w:hAnsi="宋体" w:cs="宋体"/>
          <w:b w:val="0"/>
          <w:bCs/>
          <w:color w:val="auto"/>
          <w:sz w:val="24"/>
          <w:highlight w:val="none"/>
        </w:rPr>
        <w:t>a（可自由设置），充氩过程可程序自动控制，1秒内快速开启充氩阀。</w:t>
      </w:r>
    </w:p>
    <w:p w14:paraId="7F034BD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5.5</w:t>
      </w:r>
      <w:r>
        <w:rPr>
          <w:rFonts w:hint="eastAsia" w:ascii="宋体" w:hAnsi="宋体" w:cs="宋体"/>
          <w:b w:val="0"/>
          <w:bCs/>
          <w:color w:val="auto"/>
          <w:sz w:val="24"/>
          <w:highlight w:val="none"/>
        </w:rPr>
        <w:t>水冷系统参数</w:t>
      </w:r>
    </w:p>
    <w:p w14:paraId="7F034BD7">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5.5.1</w:t>
      </w:r>
      <w:r>
        <w:rPr>
          <w:rFonts w:hint="eastAsia" w:ascii="宋体" w:hAnsi="宋体" w:cs="宋体"/>
          <w:b w:val="0"/>
          <w:bCs/>
          <w:color w:val="auto"/>
          <w:sz w:val="24"/>
          <w:highlight w:val="none"/>
        </w:rPr>
        <w:t>采用闭式静音双回路水冷系统，常温水系统冷却电源、变压器、炉体等，强冷水系统冷却坩埚、感应圈，均采用纯净水/软化水作为冷却介质；</w:t>
      </w:r>
    </w:p>
    <w:p w14:paraId="7F034BD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5.5.2</w:t>
      </w:r>
      <w:r>
        <w:rPr>
          <w:rFonts w:hint="eastAsia" w:ascii="宋体" w:hAnsi="宋体" w:cs="宋体"/>
          <w:b w:val="0"/>
          <w:bCs/>
          <w:color w:val="auto"/>
          <w:sz w:val="24"/>
          <w:highlight w:val="none"/>
        </w:rPr>
        <w:t>配置15m³不锈钢贮水罐2个、常温水水泵（1用1备）、强冷水水泵（1用1备）、应急水泵1台，应急水泵在车间停电时自动启动，为坩埚持续供水；</w:t>
      </w:r>
    </w:p>
    <w:p w14:paraId="7F034BD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5.5.3</w:t>
      </w:r>
      <w:r>
        <w:rPr>
          <w:rFonts w:hint="eastAsia" w:ascii="宋体" w:hAnsi="宋体" w:cs="宋体"/>
          <w:b w:val="0"/>
          <w:bCs/>
          <w:color w:val="auto"/>
          <w:sz w:val="24"/>
          <w:highlight w:val="none"/>
        </w:rPr>
        <w:t>冷却水的流量、压力、温度实现实时监控，具备水压欠压、水温过高、流量不足等报警保护，阀门除应急水泵阀为电控气动阀外，其余为手动阀门。</w:t>
      </w:r>
    </w:p>
    <w:p w14:paraId="7F034BD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5.6</w:t>
      </w:r>
      <w:r>
        <w:rPr>
          <w:rFonts w:hint="eastAsia" w:ascii="宋体" w:hAnsi="宋体" w:cs="宋体"/>
          <w:b w:val="0"/>
          <w:bCs/>
          <w:color w:val="auto"/>
          <w:sz w:val="24"/>
          <w:highlight w:val="none"/>
        </w:rPr>
        <w:t>控制及测量参数</w:t>
      </w:r>
    </w:p>
    <w:p w14:paraId="7F034BDB">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5.6.1</w:t>
      </w:r>
      <w:r>
        <w:rPr>
          <w:rFonts w:hint="eastAsia" w:ascii="宋体" w:hAnsi="宋体" w:cs="宋体"/>
          <w:b w:val="0"/>
          <w:bCs/>
          <w:color w:val="auto"/>
          <w:sz w:val="24"/>
          <w:highlight w:val="none"/>
        </w:rPr>
        <w:t>控制系统采用PLC+工控机+2台监视器+炉前触摸屏，配套组态王上位机，支持键盘鼠标+程序+炉前触摸屏三重操作；</w:t>
      </w:r>
    </w:p>
    <w:p w14:paraId="7F034BDC">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5.6.2</w:t>
      </w:r>
      <w:r>
        <w:rPr>
          <w:rFonts w:hint="eastAsia" w:ascii="宋体" w:hAnsi="宋体" w:cs="宋体"/>
          <w:b w:val="0"/>
          <w:bCs/>
          <w:color w:val="auto"/>
          <w:sz w:val="24"/>
          <w:highlight w:val="none"/>
        </w:rPr>
        <w:t>测量仪表配置：双比色红外测温仪（1000℃~3000℃）1台、W-Re热电偶、数字式复合真空计（带电阻规+电离规，向PLC输出信号）、PT-100温度传感器、压力传感器、流量开关/流量计、压力表等，所有测量数据可实时显示、记录、存储；</w:t>
      </w:r>
    </w:p>
    <w:p w14:paraId="7F034BDD">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5.6.3</w:t>
      </w:r>
      <w:r>
        <w:rPr>
          <w:rFonts w:hint="eastAsia" w:ascii="宋体" w:hAnsi="宋体" w:cs="宋体"/>
          <w:b w:val="0"/>
          <w:bCs/>
          <w:color w:val="auto"/>
          <w:sz w:val="24"/>
          <w:highlight w:val="none"/>
        </w:rPr>
        <w:t>配备炉内摄像头+安全电压LED炉内灯，实现熔炼过程可视化监控，视频图像与运行参数同步存储。</w:t>
      </w:r>
    </w:p>
    <w:p w14:paraId="7F034BD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5.7</w:t>
      </w:r>
      <w:r>
        <w:rPr>
          <w:rFonts w:hint="eastAsia" w:ascii="宋体" w:hAnsi="宋体" w:cs="宋体"/>
          <w:b w:val="0"/>
          <w:bCs/>
          <w:color w:val="auto"/>
          <w:sz w:val="24"/>
          <w:highlight w:val="none"/>
        </w:rPr>
        <w:t>翻转及离心浇注参数</w:t>
      </w:r>
    </w:p>
    <w:p w14:paraId="7F034BD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5.7.1</w:t>
      </w:r>
      <w:r>
        <w:rPr>
          <w:rFonts w:hint="eastAsia" w:ascii="宋体" w:hAnsi="宋体" w:cs="宋体"/>
          <w:b w:val="0"/>
          <w:bCs/>
          <w:color w:val="auto"/>
          <w:sz w:val="24"/>
          <w:highlight w:val="none"/>
        </w:rPr>
        <w:t>翻转进电系统实现大于-15°～+</w:t>
      </w:r>
      <w:r>
        <w:rPr>
          <w:rFonts w:ascii="宋体" w:hAnsi="宋体" w:cs="宋体"/>
          <w:b w:val="0"/>
          <w:bCs/>
          <w:color w:val="auto"/>
          <w:sz w:val="24"/>
          <w:highlight w:val="none"/>
        </w:rPr>
        <w:t>90°</w:t>
      </w:r>
      <w:r>
        <w:rPr>
          <w:rFonts w:hint="eastAsia" w:ascii="宋体" w:hAnsi="宋体" w:cs="宋体"/>
          <w:b w:val="0"/>
          <w:bCs/>
          <w:color w:val="auto"/>
          <w:sz w:val="24"/>
          <w:highlight w:val="none"/>
        </w:rPr>
        <w:t>双向翻转，无级调速，倾转速度1s~10s可调，设限位开关，驱动方式为伺服电机+齿轮组；</w:t>
      </w:r>
    </w:p>
    <w:p w14:paraId="7F034BE0">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离心浇注系统配置</w:t>
      </w:r>
      <w:r>
        <w:rPr>
          <w:rFonts w:ascii="宋体" w:hAnsi="宋体" w:cs="宋体"/>
          <w:b w:val="0"/>
          <w:bCs/>
          <w:color w:val="auto"/>
          <w:sz w:val="24"/>
          <w:highlight w:val="none"/>
        </w:rPr>
        <w:t>Φ1000mm×60mm</w:t>
      </w:r>
      <w:r>
        <w:rPr>
          <w:rFonts w:hint="eastAsia" w:ascii="宋体" w:hAnsi="宋体" w:cs="宋体"/>
          <w:b w:val="0"/>
          <w:bCs/>
          <w:color w:val="auto"/>
          <w:sz w:val="24"/>
          <w:highlight w:val="none"/>
        </w:rPr>
        <w:t>316L离心盘，最高转速500r/min，采用电子+液力双重刹车，离心传动轴为中空水冷结构，离心盘设6道锁紧槽、12根压条，配备隔热屏。</w:t>
      </w:r>
    </w:p>
    <w:p w14:paraId="7F034BE1">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5.8</w:t>
      </w:r>
      <w:r>
        <w:rPr>
          <w:rFonts w:hint="eastAsia" w:ascii="宋体" w:hAnsi="宋体" w:cs="宋体"/>
          <w:b w:val="0"/>
          <w:bCs/>
          <w:color w:val="auto"/>
          <w:sz w:val="24"/>
          <w:highlight w:val="none"/>
        </w:rPr>
        <w:t>操作机构参数</w:t>
      </w:r>
    </w:p>
    <w:p w14:paraId="7F034BE2">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5.8.1</w:t>
      </w:r>
      <w:r>
        <w:rPr>
          <w:rFonts w:hint="eastAsia" w:ascii="宋体" w:hAnsi="宋体" w:cs="宋体"/>
          <w:b w:val="0"/>
          <w:bCs/>
          <w:color w:val="auto"/>
          <w:sz w:val="24"/>
          <w:highlight w:val="none"/>
        </w:rPr>
        <w:t>加料器为不锈钢翻斗多分格结构，支持电机自动加料/手动加料，可分次、分物料补加，加料体积＞4L；</w:t>
      </w:r>
    </w:p>
    <w:p w14:paraId="7F034BE3">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5.8.2</w:t>
      </w:r>
      <w:r>
        <w:rPr>
          <w:rFonts w:hint="eastAsia" w:ascii="宋体" w:hAnsi="宋体" w:cs="宋体"/>
          <w:b w:val="0"/>
          <w:bCs/>
          <w:color w:val="auto"/>
          <w:sz w:val="24"/>
          <w:highlight w:val="none"/>
        </w:rPr>
        <w:t>测温杆由步进电机驱动升降，热电偶可浸入熔池，用于校正红外测温仪及直接测温；</w:t>
      </w:r>
    </w:p>
    <w:p w14:paraId="7F034BE4">
      <w:pPr>
        <w:spacing w:line="480" w:lineRule="exact"/>
        <w:rPr>
          <w:rFonts w:ascii="宋体" w:hAnsi="宋体" w:cs="宋体"/>
          <w:b w:val="0"/>
          <w:bCs/>
          <w:color w:val="auto"/>
          <w:sz w:val="24"/>
          <w:highlight w:val="none"/>
        </w:rPr>
      </w:pPr>
      <w:r>
        <w:rPr>
          <w:rFonts w:ascii="宋体" w:hAnsi="宋体" w:cs="宋体"/>
          <w:b w:val="0"/>
          <w:bCs/>
          <w:color w:val="auto"/>
          <w:sz w:val="24"/>
          <w:highlight w:val="none"/>
        </w:rPr>
        <w:t>5.8.3</w:t>
      </w:r>
      <w:r>
        <w:rPr>
          <w:rFonts w:hint="eastAsia" w:ascii="宋体" w:hAnsi="宋体" w:cs="宋体"/>
          <w:b w:val="0"/>
          <w:bCs/>
          <w:color w:val="auto"/>
          <w:sz w:val="24"/>
          <w:highlight w:val="none"/>
        </w:rPr>
        <w:t>捣料杆带真空密封，具备升降、摆动、旋转、冲击功能，角度和位置可自由调整。</w:t>
      </w:r>
    </w:p>
    <w:p w14:paraId="7F034BE5">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6、设备结构设计要求</w:t>
      </w:r>
    </w:p>
    <w:p w14:paraId="7F034BE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6.1</w:t>
      </w:r>
      <w:r>
        <w:rPr>
          <w:rFonts w:hint="eastAsia" w:ascii="宋体" w:hAnsi="宋体" w:cs="宋体"/>
          <w:b w:val="0"/>
          <w:bCs/>
          <w:color w:val="auto"/>
          <w:sz w:val="24"/>
          <w:highlight w:val="none"/>
        </w:rPr>
        <w:t>炉体：双层304不锈钢焊接成型，夹层水路无渗漏，表面抛光处理，熔炼室室腔、室底、室盖、室门密封性能良好，真空泄露率符合参数要求；</w:t>
      </w:r>
    </w:p>
    <w:p w14:paraId="7F034BE7">
      <w:pPr>
        <w:spacing w:line="480" w:lineRule="exact"/>
        <w:rPr>
          <w:rFonts w:ascii="宋体" w:hAnsi="宋体" w:cs="宋体"/>
          <w:b w:val="0"/>
          <w:bCs/>
          <w:color w:val="auto"/>
          <w:sz w:val="24"/>
          <w:highlight w:val="none"/>
        </w:rPr>
      </w:pPr>
      <w:r>
        <w:rPr>
          <w:rFonts w:ascii="宋体" w:hAnsi="宋体" w:cs="宋体"/>
          <w:b w:val="0"/>
          <w:bCs/>
          <w:color w:val="auto"/>
          <w:sz w:val="24"/>
          <w:highlight w:val="none"/>
        </w:rPr>
        <w:t>6.2</w:t>
      </w:r>
      <w:r>
        <w:rPr>
          <w:rFonts w:hint="eastAsia" w:ascii="宋体" w:hAnsi="宋体" w:cs="宋体"/>
          <w:b w:val="0"/>
          <w:bCs/>
          <w:color w:val="auto"/>
          <w:sz w:val="24"/>
          <w:highlight w:val="none"/>
        </w:rPr>
        <w:t>感应线圈：紫铜管绕制，矩形或者圆形截面满足电流和冷却流量要求，表面喷涂聚四氟乙烯绝缘涂层，与坩埚匹配形成最佳磁场谐振，通过环氧树脂板条固定在坩埚架上，可随坩埚同步翻转；</w:t>
      </w:r>
    </w:p>
    <w:p w14:paraId="7F034BE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6.3</w:t>
      </w:r>
      <w:r>
        <w:rPr>
          <w:rFonts w:hint="eastAsia" w:ascii="宋体" w:hAnsi="宋体" w:cs="宋体"/>
          <w:b w:val="0"/>
          <w:bCs/>
          <w:color w:val="auto"/>
          <w:sz w:val="24"/>
          <w:highlight w:val="none"/>
        </w:rPr>
        <w:t>翻转进电系统：同轴水冷电极为双层紫铜管结构，内外表面做绝缘密封处理；铜转盘为紫铜材质，配冷却水管，周围设电磁场屏蔽+触电保护罩；翻转装置传动部件精度高，无卡滞、异响；</w:t>
      </w:r>
    </w:p>
    <w:p w14:paraId="7F034BE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6.4</w:t>
      </w:r>
      <w:r>
        <w:rPr>
          <w:rFonts w:hint="eastAsia" w:ascii="宋体" w:hAnsi="宋体" w:cs="宋体"/>
          <w:b w:val="0"/>
          <w:bCs/>
          <w:color w:val="auto"/>
          <w:sz w:val="24"/>
          <w:highlight w:val="none"/>
        </w:rPr>
        <w:t>离心浇注系统：离心盘采用耐高温合金制作，真空轴套、密封托盘密封性能良好，液压锁锁紧可靠，水冷传动轴无漏水、过热现象；</w:t>
      </w:r>
    </w:p>
    <w:p w14:paraId="7F034BE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6.5</w:t>
      </w:r>
      <w:r>
        <w:rPr>
          <w:rFonts w:hint="eastAsia" w:ascii="宋体" w:hAnsi="宋体" w:cs="宋体"/>
          <w:b w:val="0"/>
          <w:bCs/>
          <w:color w:val="auto"/>
          <w:sz w:val="24"/>
          <w:highlight w:val="none"/>
        </w:rPr>
        <w:t>所有结构件：焊接牢固、表面处理到位，无毛刺、裂纹、变形，运动部件润滑良好，易损件设计为快速拆卸结构，方便维护更换。</w:t>
      </w:r>
    </w:p>
    <w:p w14:paraId="7F034BEB">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7、控制及安全保护要求</w:t>
      </w:r>
    </w:p>
    <w:p w14:paraId="7F034BEC">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7.1</w:t>
      </w:r>
      <w:r>
        <w:rPr>
          <w:rFonts w:hint="eastAsia" w:ascii="宋体" w:hAnsi="宋体" w:cs="宋体"/>
          <w:b w:val="0"/>
          <w:bCs/>
          <w:color w:val="auto"/>
          <w:sz w:val="24"/>
          <w:highlight w:val="none"/>
        </w:rPr>
        <w:t>控制系统功能</w:t>
      </w:r>
    </w:p>
    <w:p w14:paraId="7F034BED">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7.1.1</w:t>
      </w:r>
      <w:r>
        <w:rPr>
          <w:rFonts w:hint="eastAsia" w:ascii="宋体" w:hAnsi="宋体" w:cs="宋体"/>
          <w:b w:val="0"/>
          <w:bCs/>
          <w:color w:val="auto"/>
          <w:sz w:val="24"/>
          <w:highlight w:val="none"/>
        </w:rPr>
        <w:t>实现所有设备部件的启动/关闭控制、运行过程参数（转速、角度、温度、压力、流量等）精准调节，支持各系统操作顺序互锁，防止误操作；</w:t>
      </w:r>
    </w:p>
    <w:p w14:paraId="7F034BE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7.1.2</w:t>
      </w:r>
      <w:r>
        <w:rPr>
          <w:rFonts w:hint="eastAsia" w:ascii="宋体" w:hAnsi="宋体" w:cs="宋体"/>
          <w:b w:val="0"/>
          <w:bCs/>
          <w:color w:val="auto"/>
          <w:sz w:val="24"/>
          <w:highlight w:val="none"/>
        </w:rPr>
        <w:t>具备程序控制功能，可预设熔炼、铸造、真空、充氩等工艺流程，实现自动化运行，工艺参数可自由编辑、存储；</w:t>
      </w:r>
    </w:p>
    <w:p w14:paraId="7F034BE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7.1.3</w:t>
      </w:r>
      <w:r>
        <w:rPr>
          <w:rFonts w:hint="eastAsia" w:ascii="宋体" w:hAnsi="宋体" w:cs="宋体"/>
          <w:b w:val="0"/>
          <w:bCs/>
          <w:color w:val="auto"/>
          <w:sz w:val="24"/>
          <w:highlight w:val="none"/>
        </w:rPr>
        <w:t>支持远程测控+炉前本地操作，远程与本地数据同步存储，工控机可对所有运行参数、视频图像进行长期存储、处理、编辑，支持数据导出；</w:t>
      </w:r>
    </w:p>
    <w:p w14:paraId="7F034BF0">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7.1.4</w:t>
      </w:r>
      <w:r>
        <w:rPr>
          <w:rFonts w:hint="eastAsia" w:ascii="宋体" w:hAnsi="宋体" w:cs="宋体"/>
          <w:b w:val="0"/>
          <w:bCs/>
          <w:color w:val="auto"/>
          <w:sz w:val="24"/>
          <w:highlight w:val="none"/>
        </w:rPr>
        <w:t>炉前触摸屏可显示核心运行参数，实现坩埚倾转、电源功率调节、紧急停机等关键操作。</w:t>
      </w:r>
    </w:p>
    <w:p w14:paraId="7F034BF1">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w:t>
      </w:r>
      <w:r>
        <w:rPr>
          <w:rFonts w:hint="eastAsia" w:ascii="宋体" w:hAnsi="宋体" w:cs="宋体"/>
          <w:b w:val="0"/>
          <w:bCs/>
          <w:color w:val="auto"/>
          <w:sz w:val="24"/>
          <w:highlight w:val="none"/>
        </w:rPr>
        <w:t>安全保护要求</w:t>
      </w:r>
    </w:p>
    <w:p w14:paraId="7F034BF2">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7.2.1</w:t>
      </w:r>
      <w:r>
        <w:rPr>
          <w:rFonts w:hint="eastAsia" w:ascii="宋体" w:hAnsi="宋体" w:cs="宋体"/>
          <w:b w:val="0"/>
          <w:bCs/>
          <w:color w:val="auto"/>
          <w:sz w:val="24"/>
          <w:highlight w:val="none"/>
        </w:rPr>
        <w:t>多重泄压保护：炉体配置弹簧式、电磁式防爆安全阀+手动泄压阀，压力超第一设定值时自动泄压，超第二设定值时切断熔炼电源；</w:t>
      </w:r>
    </w:p>
    <w:p w14:paraId="7F034BF3">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7.2.2</w:t>
      </w:r>
      <w:r>
        <w:rPr>
          <w:rFonts w:hint="eastAsia" w:ascii="宋体" w:hAnsi="宋体" w:cs="宋体"/>
          <w:b w:val="0"/>
          <w:bCs/>
          <w:color w:val="auto"/>
          <w:sz w:val="24"/>
          <w:highlight w:val="none"/>
        </w:rPr>
        <w:t>冷却系统保护：坩埚/感应圈水温超温、水压欠压时自动报警并调节冷却系统，调节无效时切断感应电源；配备UPS电源，车间停电时为控制柜、报警系统供电；</w:t>
      </w:r>
    </w:p>
    <w:p w14:paraId="7F034BF4">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7.2.3</w:t>
      </w:r>
      <w:r>
        <w:rPr>
          <w:rFonts w:hint="eastAsia" w:ascii="宋体" w:hAnsi="宋体" w:cs="宋体"/>
          <w:b w:val="0"/>
          <w:bCs/>
          <w:color w:val="auto"/>
          <w:sz w:val="24"/>
          <w:highlight w:val="none"/>
        </w:rPr>
        <w:t>电源保护：感应电源具备缺相、缺水、过热、过流、欠压等全方面保护，故障时声光报警并自动停机；</w:t>
      </w:r>
    </w:p>
    <w:p w14:paraId="7F034BF5">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7.2.4</w:t>
      </w:r>
      <w:r>
        <w:rPr>
          <w:rFonts w:hint="eastAsia" w:ascii="宋体" w:hAnsi="宋体" w:cs="宋体"/>
          <w:b w:val="0"/>
          <w:bCs/>
          <w:color w:val="auto"/>
          <w:sz w:val="24"/>
          <w:highlight w:val="none"/>
        </w:rPr>
        <w:t>设备自身保护：控制系统具备操作密码保护、登录级别设置，防止非操作人员误操作；停电时具备防系统损坏的保护机制；</w:t>
      </w:r>
    </w:p>
    <w:p w14:paraId="7F034BF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7.2.5</w:t>
      </w:r>
      <w:r>
        <w:rPr>
          <w:rFonts w:hint="eastAsia" w:ascii="宋体" w:hAnsi="宋体" w:cs="宋体"/>
          <w:b w:val="0"/>
          <w:bCs/>
          <w:color w:val="auto"/>
          <w:sz w:val="24"/>
          <w:highlight w:val="none"/>
        </w:rPr>
        <w:t>其他保护：设置炉内坩埚漏水自动检测程序，漏水时启动防爆泄压保护；所有电气部件做防水、防尘、防电磁干扰处理，真空系统设高效过滤器，防止飞溅物污染机组。</w:t>
      </w:r>
    </w:p>
    <w:p w14:paraId="7F034BF7">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8、招投标阶段技术要求</w:t>
      </w:r>
    </w:p>
    <w:p w14:paraId="7F034BF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8.1</w:t>
      </w:r>
      <w:r>
        <w:rPr>
          <w:rFonts w:hint="eastAsia" w:ascii="宋体" w:hAnsi="宋体" w:cs="宋体"/>
          <w:b w:val="0"/>
          <w:bCs/>
          <w:color w:val="auto"/>
          <w:sz w:val="24"/>
          <w:highlight w:val="none"/>
        </w:rPr>
        <w:t>投标方需具备冷坩埚悬浮熔炼炉的设计、制造、安装调试资质，提供近3年同类设备的供货及运行业绩（附合同复印件、用户证明）；</w:t>
      </w:r>
    </w:p>
    <w:p w14:paraId="7F034BF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8.2</w:t>
      </w:r>
      <w:r>
        <w:rPr>
          <w:rFonts w:hint="eastAsia" w:ascii="宋体" w:hAnsi="宋体" w:cs="宋体"/>
          <w:b w:val="0"/>
          <w:bCs/>
          <w:color w:val="auto"/>
          <w:sz w:val="24"/>
          <w:highlight w:val="none"/>
        </w:rPr>
        <w:t>投标文件中需详细列明设备整体设计方案、核心技术参数偏离表（无偏离需注明）、关键配套部件（真空系统、PLC、传感器、水泵、冷水机等）的品牌、型号、技术参数及生产厂家；</w:t>
      </w:r>
    </w:p>
    <w:p w14:paraId="7F034BF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8.3</w:t>
      </w:r>
      <w:r>
        <w:rPr>
          <w:rFonts w:hint="eastAsia" w:ascii="宋体" w:hAnsi="宋体" w:cs="宋体"/>
          <w:b w:val="0"/>
          <w:bCs/>
          <w:color w:val="auto"/>
          <w:sz w:val="24"/>
          <w:highlight w:val="none"/>
        </w:rPr>
        <w:t>投标文件需包含设备平面布置图、电控系统原理图、设备结构总图、易损件图纸，以及熔炼工艺方案、设备运行成本分析、质保期服务方案；</w:t>
      </w:r>
    </w:p>
    <w:p w14:paraId="7F034BFB">
      <w:pPr>
        <w:spacing w:line="480" w:lineRule="exact"/>
        <w:rPr>
          <w:rFonts w:ascii="宋体" w:hAnsi="宋体" w:cs="宋体"/>
          <w:b w:val="0"/>
          <w:bCs/>
          <w:color w:val="auto"/>
          <w:sz w:val="24"/>
          <w:highlight w:val="none"/>
        </w:rPr>
      </w:pPr>
      <w:r>
        <w:rPr>
          <w:rFonts w:ascii="宋体" w:hAnsi="宋体" w:cs="宋体"/>
          <w:b w:val="0"/>
          <w:bCs/>
          <w:color w:val="auto"/>
          <w:sz w:val="24"/>
          <w:highlight w:val="none"/>
        </w:rPr>
        <w:t>8.4</w:t>
      </w:r>
      <w:r>
        <w:rPr>
          <w:rFonts w:hint="eastAsia" w:ascii="宋体" w:hAnsi="宋体" w:cs="宋体"/>
          <w:b w:val="0"/>
          <w:bCs/>
          <w:color w:val="auto"/>
          <w:sz w:val="24"/>
          <w:highlight w:val="none"/>
        </w:rPr>
        <w:t>投标方需承诺设备制造过程中接受采购方的监造，关键工序（如坩埚锻造、炉体焊接、真空密封测试）需提前通知采购方到场验收；</w:t>
      </w:r>
    </w:p>
    <w:p w14:paraId="7F034BFC">
      <w:pPr>
        <w:spacing w:line="480" w:lineRule="exact"/>
        <w:rPr>
          <w:rFonts w:ascii="宋体" w:hAnsi="宋体" w:cs="宋体"/>
          <w:b w:val="0"/>
          <w:bCs/>
          <w:color w:val="auto"/>
          <w:sz w:val="24"/>
          <w:highlight w:val="none"/>
        </w:rPr>
      </w:pPr>
      <w:r>
        <w:rPr>
          <w:rFonts w:ascii="宋体" w:hAnsi="宋体" w:cs="宋体"/>
          <w:b w:val="0"/>
          <w:bCs/>
          <w:color w:val="auto"/>
          <w:sz w:val="24"/>
          <w:highlight w:val="none"/>
        </w:rPr>
        <w:t>8.5</w:t>
      </w:r>
      <w:r>
        <w:rPr>
          <w:rFonts w:hint="eastAsia" w:ascii="宋体" w:hAnsi="宋体" w:cs="宋体"/>
          <w:b w:val="0"/>
          <w:bCs/>
          <w:color w:val="auto"/>
          <w:sz w:val="24"/>
          <w:highlight w:val="none"/>
        </w:rPr>
        <w:t>投标方需在投标文件中明确设备供货范围，包括主机、辅机、备品配件、专用工具、随机文件等，不得遗漏设备正常运行及初期维护所需的任何部件。</w:t>
      </w:r>
    </w:p>
    <w:p w14:paraId="7F034BFD">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9、安装调试阶段技术要求</w:t>
      </w:r>
    </w:p>
    <w:p w14:paraId="7F034BF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9.1</w:t>
      </w:r>
      <w:r>
        <w:rPr>
          <w:rFonts w:hint="eastAsia" w:ascii="宋体" w:hAnsi="宋体" w:cs="宋体"/>
          <w:b w:val="0"/>
          <w:bCs/>
          <w:color w:val="auto"/>
          <w:sz w:val="24"/>
          <w:highlight w:val="none"/>
        </w:rPr>
        <w:t>投标方需提供详细的设备安装施工方案，包括安装流程、工期计划、所需场地/水电/气源条件、安装工具及人员配置，方案需经采购方确认后方可实施；</w:t>
      </w:r>
    </w:p>
    <w:p w14:paraId="7F034BF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9.2</w:t>
      </w:r>
      <w:r>
        <w:rPr>
          <w:rFonts w:hint="eastAsia" w:ascii="宋体" w:hAnsi="宋体" w:cs="宋体"/>
          <w:b w:val="0"/>
          <w:bCs/>
          <w:color w:val="auto"/>
          <w:sz w:val="24"/>
          <w:highlight w:val="none"/>
        </w:rPr>
        <w:t>投标方负责设备的整体运输（含装卸、就位），运输过程中采取防碰撞、防变形、防受潮保护措施，设备到货后双方共同开箱验收，核对设备部件、备品配件、随机文件是否齐全、完好；</w:t>
      </w:r>
    </w:p>
    <w:p w14:paraId="7F034C00">
      <w:pPr>
        <w:spacing w:line="480" w:lineRule="exact"/>
        <w:rPr>
          <w:rFonts w:ascii="宋体" w:hAnsi="宋体" w:cs="宋体"/>
          <w:b w:val="0"/>
          <w:bCs/>
          <w:color w:val="auto"/>
          <w:sz w:val="24"/>
          <w:highlight w:val="none"/>
        </w:rPr>
      </w:pPr>
      <w:r>
        <w:rPr>
          <w:rFonts w:ascii="宋体" w:hAnsi="宋体" w:cs="宋体"/>
          <w:b w:val="0"/>
          <w:bCs/>
          <w:color w:val="auto"/>
          <w:sz w:val="24"/>
          <w:highlight w:val="none"/>
        </w:rPr>
        <w:t>9.3</w:t>
      </w:r>
      <w:r>
        <w:rPr>
          <w:rFonts w:hint="eastAsia" w:ascii="宋体" w:hAnsi="宋体" w:cs="宋体"/>
          <w:b w:val="0"/>
          <w:bCs/>
          <w:color w:val="auto"/>
          <w:sz w:val="24"/>
          <w:highlight w:val="none"/>
        </w:rPr>
        <w:t>投标方派遣专业技术人员到现场进行设备安装、调试，负责设备与现场水电、氩气、压缩空气等系统的对接，确保安装精度符合设计要求，真空密封、水路、电路、气路无渗漏；</w:t>
      </w:r>
    </w:p>
    <w:p w14:paraId="7F034C01">
      <w:pPr>
        <w:spacing w:line="480" w:lineRule="exact"/>
        <w:rPr>
          <w:rFonts w:ascii="宋体" w:hAnsi="宋体" w:cs="宋体"/>
          <w:b w:val="0"/>
          <w:bCs/>
          <w:color w:val="auto"/>
          <w:sz w:val="24"/>
          <w:highlight w:val="none"/>
        </w:rPr>
      </w:pPr>
      <w:r>
        <w:rPr>
          <w:rFonts w:ascii="宋体" w:hAnsi="宋体" w:cs="宋体"/>
          <w:b w:val="0"/>
          <w:bCs/>
          <w:color w:val="auto"/>
          <w:sz w:val="24"/>
          <w:highlight w:val="none"/>
        </w:rPr>
        <w:t>9.4</w:t>
      </w:r>
      <w:r>
        <w:rPr>
          <w:rFonts w:hint="eastAsia" w:ascii="宋体" w:hAnsi="宋体" w:cs="宋体"/>
          <w:b w:val="0"/>
          <w:bCs/>
          <w:color w:val="auto"/>
          <w:sz w:val="24"/>
          <w:highlight w:val="none"/>
        </w:rPr>
        <w:t>调试过程中，投标方需按本技术要求逐项检测设备技术参数、性能指标，包括真空度、熔炼温度、翻转角度、冷却系统参数、控制系统功能、安全保护功能等，所有参数需达标后方可进行试生产；</w:t>
      </w:r>
    </w:p>
    <w:p w14:paraId="7F034C02">
      <w:pPr>
        <w:spacing w:line="480" w:lineRule="exact"/>
        <w:rPr>
          <w:rFonts w:ascii="宋体" w:hAnsi="宋体" w:cs="宋体"/>
          <w:b w:val="0"/>
          <w:bCs/>
          <w:color w:val="auto"/>
          <w:sz w:val="24"/>
          <w:highlight w:val="none"/>
        </w:rPr>
      </w:pPr>
      <w:r>
        <w:rPr>
          <w:rFonts w:ascii="宋体" w:hAnsi="宋体" w:cs="宋体"/>
          <w:b w:val="0"/>
          <w:bCs/>
          <w:color w:val="auto"/>
          <w:sz w:val="24"/>
          <w:highlight w:val="none"/>
        </w:rPr>
        <w:t>9.5</w:t>
      </w:r>
      <w:r>
        <w:rPr>
          <w:rFonts w:hint="eastAsia" w:ascii="宋体" w:hAnsi="宋体" w:cs="宋体"/>
          <w:b w:val="0"/>
          <w:bCs/>
          <w:color w:val="auto"/>
          <w:sz w:val="24"/>
          <w:highlight w:val="none"/>
        </w:rPr>
        <w:t>试生产阶段，投标方需指导采购方操作人员进行不同材质的熔炼浇注试验，确保设备能稳定实现工艺要求，试生产的产品质量符合采购方工艺标准。</w:t>
      </w:r>
    </w:p>
    <w:p w14:paraId="7F034C03">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10、验收阶段技术要求</w:t>
      </w:r>
    </w:p>
    <w:p w14:paraId="7F034C04">
      <w:pPr>
        <w:spacing w:line="480" w:lineRule="exact"/>
        <w:ind w:firstLine="480" w:firstLineChars="200"/>
        <w:rPr>
          <w:rFonts w:ascii="宋体" w:hAnsi="宋体" w:cs="宋体"/>
          <w:b w:val="0"/>
          <w:bCs/>
          <w:color w:val="auto"/>
          <w:sz w:val="24"/>
          <w:highlight w:val="none"/>
        </w:rPr>
      </w:pPr>
      <w:r>
        <w:rPr>
          <w:rFonts w:hint="eastAsia" w:ascii="宋体" w:hAnsi="宋体" w:cs="宋体"/>
          <w:b w:val="0"/>
          <w:bCs/>
          <w:color w:val="auto"/>
          <w:sz w:val="24"/>
          <w:highlight w:val="none"/>
        </w:rPr>
        <w:t>本设备验收分为工厂预验收和现场终验收，两次验收均需满足本技术要求及投标方承诺的全部条款，验收合格后双方签署验收报告，验收不合格投标方需在规定期限内整改至达标。</w:t>
      </w:r>
    </w:p>
    <w:p w14:paraId="7F034C05">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10.1</w:t>
      </w:r>
      <w:r>
        <w:rPr>
          <w:rFonts w:hint="eastAsia" w:ascii="宋体" w:hAnsi="宋体" w:cs="宋体"/>
          <w:b w:val="0"/>
          <w:bCs/>
          <w:color w:val="auto"/>
          <w:sz w:val="24"/>
          <w:highlight w:val="none"/>
        </w:rPr>
        <w:t>工厂预验收</w:t>
      </w:r>
    </w:p>
    <w:p w14:paraId="7F034C0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10.1.1</w:t>
      </w:r>
      <w:r>
        <w:rPr>
          <w:rFonts w:hint="eastAsia" w:ascii="宋体" w:hAnsi="宋体" w:cs="宋体"/>
          <w:b w:val="0"/>
          <w:bCs/>
          <w:color w:val="auto"/>
          <w:sz w:val="24"/>
          <w:highlight w:val="none"/>
        </w:rPr>
        <w:t>设备制造完成后，投标方通知采购方到工厂进行预验收，预验收内容包括设备外观、结构尺寸、核心部件配置、单机调试、空负荷联动调试；</w:t>
      </w:r>
    </w:p>
    <w:p w14:paraId="7F034C07">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10.1.2</w:t>
      </w:r>
      <w:r>
        <w:rPr>
          <w:rFonts w:hint="eastAsia" w:ascii="宋体" w:hAnsi="宋体" w:cs="宋体"/>
          <w:b w:val="0"/>
          <w:bCs/>
          <w:color w:val="auto"/>
          <w:sz w:val="24"/>
          <w:highlight w:val="none"/>
        </w:rPr>
        <w:t>进行空炉真空测试、水冷系统试运行、翻转系统调试、控制系统功能测试等，所有测试数据需记录并经双方签字确认，预验收合格后方可发货。</w:t>
      </w:r>
    </w:p>
    <w:p w14:paraId="7F034C0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10.2</w:t>
      </w:r>
      <w:r>
        <w:rPr>
          <w:rFonts w:hint="eastAsia" w:ascii="宋体" w:hAnsi="宋体" w:cs="宋体"/>
          <w:b w:val="0"/>
          <w:bCs/>
          <w:color w:val="auto"/>
          <w:sz w:val="24"/>
          <w:highlight w:val="none"/>
        </w:rPr>
        <w:t>现场终验收</w:t>
      </w:r>
    </w:p>
    <w:p w14:paraId="7F034C0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10.2.1</w:t>
      </w:r>
      <w:r>
        <w:rPr>
          <w:rFonts w:hint="eastAsia" w:ascii="宋体" w:hAnsi="宋体" w:cs="宋体"/>
          <w:b w:val="0"/>
          <w:bCs/>
          <w:color w:val="auto"/>
          <w:sz w:val="24"/>
          <w:highlight w:val="none"/>
        </w:rPr>
        <w:t>设备现场安装调试完成后进行终验收，终验收为带负荷全流程验收，需连续进行至少3炉合格产品的熔炼浇注试验，试验过程中设备无故障、各项参数均符合本技术要求；</w:t>
      </w:r>
    </w:p>
    <w:p w14:paraId="7F034C0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10.2.2</w:t>
      </w:r>
      <w:r>
        <w:rPr>
          <w:rFonts w:hint="eastAsia" w:ascii="宋体" w:hAnsi="宋体" w:cs="宋体"/>
          <w:b w:val="0"/>
          <w:bCs/>
          <w:color w:val="auto"/>
          <w:sz w:val="24"/>
          <w:highlight w:val="none"/>
        </w:rPr>
        <w:t>逐项检测设备所有功能，包括真空/氩气系统、熔炼系统、浇注系统、冷却系统、控制系统、安全保护系统等，确保所有功能正常、可靠；</w:t>
      </w:r>
    </w:p>
    <w:p w14:paraId="7F034C0B">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10.2.3</w:t>
      </w:r>
      <w:r>
        <w:rPr>
          <w:rFonts w:hint="eastAsia" w:ascii="宋体" w:hAnsi="宋体" w:cs="宋体"/>
          <w:b w:val="0"/>
          <w:bCs/>
          <w:color w:val="auto"/>
          <w:sz w:val="24"/>
          <w:highlight w:val="none"/>
        </w:rPr>
        <w:t>核对备品配件、专用工具、随机文件是否齐全，随机文件需包括：平面布置图、电控系统原理图及配线图、设备操作维护使用说明书、产品合格证、主要配套产品使用说明书及合格证、非标易损件图纸、装箱单；</w:t>
      </w:r>
    </w:p>
    <w:p w14:paraId="7F034C0C">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10.2.4</w:t>
      </w:r>
      <w:r>
        <w:rPr>
          <w:rFonts w:hint="eastAsia" w:ascii="宋体" w:hAnsi="宋体" w:cs="宋体"/>
          <w:b w:val="0"/>
          <w:bCs/>
          <w:color w:val="auto"/>
          <w:sz w:val="24"/>
          <w:highlight w:val="none"/>
        </w:rPr>
        <w:t>投标方需向采购方提供完整的验收检测报告，包括所有技术参数的检测结果、试生产工艺记录、设备运行记录等，所有资料需加盖投标方公章。</w:t>
      </w:r>
    </w:p>
    <w:p w14:paraId="7F034C0D">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11、质保期及正常生产使用技术要求</w:t>
      </w:r>
    </w:p>
    <w:p w14:paraId="7F034C0E">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11.1</w:t>
      </w:r>
      <w:r>
        <w:rPr>
          <w:rFonts w:hint="eastAsia" w:ascii="宋体" w:hAnsi="宋体" w:cs="宋体"/>
          <w:b w:val="0"/>
          <w:bCs/>
          <w:color w:val="auto"/>
          <w:sz w:val="24"/>
          <w:highlight w:val="none"/>
        </w:rPr>
        <w:t>质保期要求</w:t>
      </w:r>
    </w:p>
    <w:p w14:paraId="7F034C0F">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11.1.1</w:t>
      </w:r>
      <w:r>
        <w:rPr>
          <w:rFonts w:hint="eastAsia" w:ascii="宋体" w:hAnsi="宋体" w:cs="宋体"/>
          <w:b w:val="0"/>
          <w:bCs/>
          <w:color w:val="auto"/>
          <w:sz w:val="24"/>
          <w:highlight w:val="none"/>
        </w:rPr>
        <w:t>设备整体质保期不少于1年（自现场终验收合格签署验收报告之日起计算），质保期内设备因设计、制造、安装质量问题出现故障，投标方需在接到采购方通知后48小时内派遣技术人员到现场免费维修，更换损坏的零部件（易损件除外）；</w:t>
      </w:r>
    </w:p>
    <w:p w14:paraId="7F034C10">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11.1.2</w:t>
      </w:r>
      <w:r>
        <w:rPr>
          <w:rFonts w:hint="eastAsia" w:ascii="宋体" w:hAnsi="宋体" w:cs="宋体"/>
          <w:b w:val="0"/>
          <w:bCs/>
          <w:color w:val="auto"/>
          <w:sz w:val="24"/>
          <w:highlight w:val="none"/>
        </w:rPr>
        <w:t>冷坩埚提供终生维护保养服务，质保期外坩埚的维修、保养仅收取成本费，投标方需定期为坩埚做检测、维护指导。</w:t>
      </w:r>
    </w:p>
    <w:p w14:paraId="7F034C11">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w:t>
      </w:r>
      <w:r>
        <w:rPr>
          <w:rFonts w:hint="eastAsia" w:ascii="宋体" w:hAnsi="宋体" w:cs="宋体"/>
          <w:b w:val="0"/>
          <w:bCs/>
          <w:color w:val="auto"/>
          <w:sz w:val="24"/>
          <w:highlight w:val="none"/>
        </w:rPr>
        <w:t>正常生产使用要求</w:t>
      </w:r>
    </w:p>
    <w:p w14:paraId="7F034C12">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11.2.1</w:t>
      </w:r>
      <w:r>
        <w:rPr>
          <w:rFonts w:hint="eastAsia" w:ascii="宋体" w:hAnsi="宋体" w:cs="宋体"/>
          <w:b w:val="0"/>
          <w:bCs/>
          <w:color w:val="auto"/>
          <w:sz w:val="24"/>
          <w:highlight w:val="none"/>
        </w:rPr>
        <w:t>投标方需为采购方提供免费技术培训，包括出货前工厂培训和现场培训，培训内容涵盖设备构造、工作原理、操作方法、常见故障排查、日常维护保养、核心部件（坩埚、电源、水冷系统）保养、不同材料熔炼工艺制定等，确保采购方操作人员能独立操作、维护设备；</w:t>
      </w:r>
    </w:p>
    <w:p w14:paraId="7F034C13">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11.2.2</w:t>
      </w:r>
      <w:r>
        <w:rPr>
          <w:rFonts w:hint="eastAsia" w:ascii="宋体" w:hAnsi="宋体" w:cs="宋体"/>
          <w:b w:val="0"/>
          <w:bCs/>
          <w:color w:val="auto"/>
          <w:sz w:val="24"/>
          <w:highlight w:val="none"/>
        </w:rPr>
        <w:t>质保期内投标方需定期对设备进行现场巡检（每3个月至少1次），及时发现并解决设备潜在问题，巡检结果需经采购方签字确认；</w:t>
      </w:r>
    </w:p>
    <w:p w14:paraId="7F034C14">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11.2.3</w:t>
      </w:r>
      <w:r>
        <w:rPr>
          <w:rFonts w:hint="eastAsia" w:ascii="宋体" w:hAnsi="宋体" w:cs="宋体"/>
          <w:b w:val="0"/>
          <w:bCs/>
          <w:color w:val="auto"/>
          <w:sz w:val="24"/>
          <w:highlight w:val="none"/>
        </w:rPr>
        <w:t>投标方需为设备提供终生技术咨询服务，采购方可通过电话、邮件、函件等方式随时咨询，投标方需在24小时内给予回复；</w:t>
      </w:r>
    </w:p>
    <w:p w14:paraId="7F034C15">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11.2.4</w:t>
      </w:r>
      <w:r>
        <w:rPr>
          <w:rFonts w:hint="eastAsia" w:ascii="宋体" w:hAnsi="宋体" w:cs="宋体"/>
          <w:b w:val="0"/>
          <w:bCs/>
          <w:color w:val="auto"/>
          <w:sz w:val="24"/>
          <w:highlight w:val="none"/>
        </w:rPr>
        <w:t>质保期外，投标方为设备提供维修服务时，仅收取零部件成本费和合理的人工差旅费，且需保证零部件的长期供应，供应周期不低于10年；</w:t>
      </w:r>
    </w:p>
    <w:p w14:paraId="7F034C16">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11.2.5</w:t>
      </w:r>
      <w:r>
        <w:rPr>
          <w:rFonts w:hint="eastAsia" w:ascii="宋体" w:hAnsi="宋体" w:cs="宋体"/>
          <w:b w:val="0"/>
          <w:bCs/>
          <w:color w:val="auto"/>
          <w:sz w:val="24"/>
          <w:highlight w:val="none"/>
        </w:rPr>
        <w:t>投标方需为设备提供长期技术升级改造服务，根据采购方的工艺升级需求，提供设备改造方案，确保设备能持续满足生产工艺要求。</w:t>
      </w:r>
    </w:p>
    <w:p w14:paraId="7F034C17">
      <w:pPr>
        <w:spacing w:line="500" w:lineRule="exact"/>
        <w:rPr>
          <w:rFonts w:ascii="宋体" w:hAnsi="宋体" w:cs="宋体"/>
          <w:b w:val="0"/>
          <w:bCs/>
          <w:color w:val="auto"/>
          <w:sz w:val="24"/>
          <w:highlight w:val="none"/>
        </w:rPr>
      </w:pPr>
      <w:r>
        <w:rPr>
          <w:rFonts w:hint="eastAsia" w:ascii="宋体" w:hAnsi="宋体" w:cs="宋体"/>
          <w:b w:val="0"/>
          <w:bCs/>
          <w:color w:val="auto"/>
          <w:sz w:val="24"/>
          <w:highlight w:val="none"/>
        </w:rPr>
        <w:t>12、其他要求</w:t>
      </w:r>
    </w:p>
    <w:p w14:paraId="7F034C18">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12.1</w:t>
      </w:r>
      <w:r>
        <w:rPr>
          <w:rFonts w:hint="eastAsia" w:ascii="宋体" w:hAnsi="宋体" w:cs="宋体"/>
          <w:b w:val="0"/>
          <w:bCs/>
          <w:color w:val="auto"/>
          <w:sz w:val="24"/>
          <w:highlight w:val="none"/>
        </w:rPr>
        <w:t>投标方需承诺设备的设计、制造、安装调试符合国家环保、安全、消防等相关法规，设备运行过程中无超标噪音、无废水/废气污染，设备的安全防护装置齐全、有效；</w:t>
      </w:r>
    </w:p>
    <w:p w14:paraId="7F034C19">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12.2</w:t>
      </w:r>
      <w:r>
        <w:rPr>
          <w:rFonts w:hint="eastAsia" w:ascii="宋体" w:hAnsi="宋体" w:cs="宋体"/>
          <w:b w:val="0"/>
          <w:bCs/>
          <w:color w:val="auto"/>
          <w:sz w:val="24"/>
          <w:highlight w:val="none"/>
        </w:rPr>
        <w:t>设备的备品配件、易损件需为标准化设计，采购方可方便采购，投标方需在随机文件中列明易损件清单、更换周期及采购渠道；</w:t>
      </w:r>
    </w:p>
    <w:p w14:paraId="7F034C1A">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12.3</w:t>
      </w:r>
      <w:r>
        <w:rPr>
          <w:rFonts w:hint="eastAsia" w:ascii="宋体" w:hAnsi="宋体" w:cs="宋体"/>
          <w:b w:val="0"/>
          <w:bCs/>
          <w:color w:val="auto"/>
          <w:sz w:val="24"/>
          <w:highlight w:val="none"/>
        </w:rPr>
        <w:t>本技术要求为刚性要求，投标方不得擅自更改，若需对技术参数进行优化调整，需书面提交采购方，经采购方书面确认后方可实施；</w:t>
      </w:r>
    </w:p>
    <w:p w14:paraId="7F034C1B">
      <w:pPr>
        <w:spacing w:line="480" w:lineRule="exact"/>
        <w:rPr>
          <w:rFonts w:ascii="宋体" w:hAnsi="宋体" w:cs="宋体"/>
          <w:b w:val="0"/>
          <w:bCs/>
          <w:color w:val="auto"/>
          <w:sz w:val="24"/>
          <w:highlight w:val="none"/>
        </w:rPr>
      </w:pPr>
      <w:r>
        <w:rPr>
          <w:rFonts w:ascii="宋体" w:hAnsi="宋体" w:cs="宋体"/>
          <w:b w:val="0"/>
          <w:bCs/>
          <w:color w:val="auto"/>
          <w:sz w:val="24"/>
          <w:highlight w:val="none"/>
        </w:rPr>
        <w:t>12.4</w:t>
      </w:r>
      <w:r>
        <w:rPr>
          <w:rFonts w:hint="eastAsia" w:ascii="宋体" w:hAnsi="宋体" w:cs="宋体"/>
          <w:b w:val="0"/>
          <w:bCs/>
          <w:color w:val="auto"/>
          <w:sz w:val="24"/>
          <w:highlight w:val="none"/>
        </w:rPr>
        <w:t>本技术要求未尽事宜，由采购方与投标方协商确定，协商结果以书面形式作为本要求的补充条款，与本要求具有同等法律效力。</w:t>
      </w:r>
    </w:p>
    <w:p w14:paraId="7F034C1C">
      <w:pPr>
        <w:spacing w:line="500" w:lineRule="exact"/>
        <w:rPr>
          <w:rFonts w:ascii="宋体" w:hAnsi="宋体" w:cs="宋体"/>
          <w:b w:val="0"/>
          <w:bCs/>
          <w:color w:val="auto"/>
          <w:spacing w:val="10"/>
          <w:sz w:val="24"/>
          <w:highlight w:val="none"/>
        </w:rPr>
      </w:pPr>
      <w:r>
        <w:rPr>
          <w:rFonts w:ascii="宋体" w:hAnsi="宋体" w:cs="宋体"/>
          <w:b w:val="0"/>
          <w:bCs/>
          <w:color w:val="auto"/>
          <w:spacing w:val="10"/>
          <w:sz w:val="24"/>
          <w:highlight w:val="none"/>
        </w:rPr>
        <w:t>13</w:t>
      </w:r>
      <w:r>
        <w:rPr>
          <w:rFonts w:hint="eastAsia" w:ascii="宋体" w:hAnsi="宋体" w:cs="宋体"/>
          <w:b w:val="0"/>
          <w:bCs/>
          <w:color w:val="auto"/>
          <w:spacing w:val="10"/>
          <w:sz w:val="24"/>
          <w:highlight w:val="none"/>
        </w:rPr>
        <w:t>、附录</w:t>
      </w:r>
    </w:p>
    <w:p w14:paraId="7F034C1D">
      <w:pPr>
        <w:spacing w:line="480" w:lineRule="exact"/>
        <w:ind w:firstLine="520" w:firstLineChars="200"/>
        <w:rPr>
          <w:rFonts w:ascii="宋体" w:hAnsi="宋体" w:cs="宋体"/>
          <w:b w:val="0"/>
          <w:bCs/>
          <w:color w:val="auto"/>
          <w:sz w:val="24"/>
          <w:highlight w:val="none"/>
        </w:rPr>
      </w:pPr>
      <w:r>
        <w:rPr>
          <w:rFonts w:hint="eastAsia" w:ascii="宋体" w:hAnsi="宋体" w:cs="宋体"/>
          <w:b w:val="0"/>
          <w:bCs/>
          <w:color w:val="auto"/>
          <w:spacing w:val="10"/>
          <w:sz w:val="24"/>
          <w:highlight w:val="none"/>
        </w:rPr>
        <w:t>附录1：信息化数据接口要求</w:t>
      </w:r>
    </w:p>
    <w:p w14:paraId="7F034C1E">
      <w:pPr>
        <w:spacing w:line="480" w:lineRule="exact"/>
        <w:rPr>
          <w:rFonts w:ascii="宋体" w:hAnsi="宋体" w:cs="宋体"/>
          <w:b w:val="0"/>
          <w:bCs/>
          <w:color w:val="auto"/>
          <w:sz w:val="24"/>
          <w:highlight w:val="none"/>
        </w:rPr>
        <w:sectPr>
          <w:headerReference r:id="rId15" w:type="default"/>
          <w:footerReference r:id="rId16" w:type="default"/>
          <w:pgSz w:w="11906" w:h="16838"/>
          <w:pgMar w:top="1440" w:right="1080" w:bottom="1440" w:left="1080" w:header="851" w:footer="850" w:gutter="0"/>
          <w:cols w:space="425" w:num="1"/>
          <w:docGrid w:type="lines" w:linePitch="312" w:charSpace="0"/>
        </w:sectPr>
      </w:pPr>
    </w:p>
    <w:p w14:paraId="7F034C1F">
      <w:pPr>
        <w:spacing w:line="480" w:lineRule="exact"/>
        <w:jc w:val="center"/>
        <w:rPr>
          <w:rFonts w:ascii="宋体" w:hAnsi="宋体" w:cs="宋体"/>
          <w:b w:val="0"/>
          <w:bCs/>
          <w:color w:val="auto"/>
          <w:sz w:val="28"/>
          <w:szCs w:val="28"/>
          <w:highlight w:val="none"/>
        </w:rPr>
      </w:pPr>
      <w:r>
        <w:rPr>
          <w:rFonts w:hint="eastAsia" w:ascii="宋体" w:hAnsi="宋体" w:cs="宋体"/>
          <w:b w:val="0"/>
          <w:bCs/>
          <w:color w:val="auto"/>
          <w:spacing w:val="10"/>
          <w:sz w:val="28"/>
          <w:szCs w:val="28"/>
          <w:highlight w:val="none"/>
        </w:rPr>
        <w:t>附录1</w:t>
      </w:r>
      <w:r>
        <w:rPr>
          <w:rFonts w:ascii="宋体" w:hAnsi="宋体" w:cs="宋体"/>
          <w:b w:val="0"/>
          <w:bCs/>
          <w:color w:val="auto"/>
          <w:spacing w:val="10"/>
          <w:sz w:val="28"/>
          <w:szCs w:val="28"/>
          <w:highlight w:val="none"/>
        </w:rPr>
        <w:t>—</w:t>
      </w:r>
      <w:r>
        <w:rPr>
          <w:rFonts w:hint="eastAsia" w:ascii="宋体" w:hAnsi="宋体" w:cs="宋体"/>
          <w:b w:val="0"/>
          <w:bCs/>
          <w:color w:val="auto"/>
          <w:spacing w:val="10"/>
          <w:sz w:val="28"/>
          <w:szCs w:val="28"/>
          <w:highlight w:val="none"/>
        </w:rPr>
        <w:t>信息化数据接口要求</w:t>
      </w:r>
    </w:p>
    <w:p w14:paraId="7F034C20">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总体要求</w:t>
      </w:r>
    </w:p>
    <w:p w14:paraId="7F034C21">
      <w:pPr>
        <w:spacing w:line="480" w:lineRule="exact"/>
        <w:ind w:firstLine="480" w:firstLineChars="200"/>
        <w:jc w:val="left"/>
        <w:rPr>
          <w:rFonts w:hint="eastAsia" w:ascii="宋体" w:hAnsi="宋体" w:cs="宋体"/>
          <w:b w:val="0"/>
          <w:bCs/>
          <w:color w:val="auto"/>
          <w:sz w:val="24"/>
          <w:highlight w:val="none"/>
        </w:rPr>
      </w:pPr>
      <w:r>
        <w:rPr>
          <w:rFonts w:hint="eastAsia" w:ascii="宋体" w:hAnsi="宋体" w:cs="宋体"/>
          <w:b w:val="0"/>
          <w:bCs/>
          <w:color w:val="auto"/>
          <w:sz w:val="24"/>
          <w:highlight w:val="none"/>
        </w:rPr>
        <w:t>投标方应提供统一、标准化、实时、双向、稳定的数据接口，支持设备运行数据采集、报警事件和日志信息上报、生产任务及追溯标识信息下发、工艺参数及配方信息下发、自动化作业调用、执行状态反馈及系统集成等需求。</w:t>
      </w:r>
    </w:p>
    <w:p w14:paraId="7F034C22">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接口应覆盖设备控制系统、PLC、工控机、触摸屏、仪表、传感器及设备上位机系统中可采集、可显示、可记录的数据，以及原本可由操作人员通过设备上位机、触摸屏或操作面板完成的常规生产操作相关接口。</w:t>
      </w:r>
    </w:p>
    <w:p w14:paraId="7F034C23">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通信协议与接口需求</w:t>
      </w:r>
    </w:p>
    <w:p w14:paraId="7F034C24">
      <w:pPr>
        <w:spacing w:line="480" w:lineRule="exact"/>
        <w:jc w:val="left"/>
        <w:rPr>
          <w:rFonts w:ascii="宋体" w:hAnsi="宋体" w:cs="宋体"/>
          <w:b w:val="0"/>
          <w:bCs/>
          <w:color w:val="auto"/>
          <w:sz w:val="24"/>
          <w:highlight w:val="none"/>
        </w:rPr>
      </w:pPr>
      <w:r>
        <w:rPr>
          <w:rFonts w:ascii="宋体" w:hAnsi="宋体" w:cs="宋体"/>
          <w:b w:val="0"/>
          <w:bCs/>
          <w:color w:val="auto"/>
          <w:sz w:val="24"/>
          <w:highlight w:val="none"/>
        </w:rPr>
        <w:t xml:space="preserve">2.1 </w:t>
      </w:r>
      <w:r>
        <w:rPr>
          <w:rFonts w:hint="eastAsia" w:ascii="宋体" w:hAnsi="宋体" w:cs="宋体"/>
          <w:b w:val="0"/>
          <w:bCs/>
          <w:color w:val="auto"/>
          <w:sz w:val="24"/>
          <w:highlight w:val="none"/>
        </w:rPr>
        <w:t>通信协议</w:t>
      </w:r>
    </w:p>
    <w:p w14:paraId="7F034C25">
      <w:pPr>
        <w:pStyle w:val="334"/>
        <w:spacing w:line="480" w:lineRule="exact"/>
        <w:ind w:left="0" w:firstLine="480" w:firstLineChars="200"/>
        <w:jc w:val="left"/>
        <w:rPr>
          <w:b w:val="0"/>
          <w:bCs/>
          <w:color w:val="auto"/>
          <w:sz w:val="24"/>
          <w:highlight w:val="none"/>
        </w:rPr>
      </w:pPr>
      <w:r>
        <w:rPr>
          <w:rFonts w:hint="eastAsia"/>
          <w:b w:val="0"/>
          <w:bCs/>
          <w:color w:val="auto"/>
          <w:sz w:val="24"/>
          <w:highlight w:val="none"/>
        </w:rPr>
        <w:t>数据接口优先采用OPC UA工业通信标准，备选支持：Modbus TCP、TCP/IP等采购方认可的工业标准协议。</w:t>
      </w:r>
    </w:p>
    <w:p w14:paraId="7F034C26">
      <w:pPr>
        <w:spacing w:line="480" w:lineRule="exact"/>
        <w:jc w:val="left"/>
        <w:rPr>
          <w:rFonts w:ascii="宋体" w:hAnsi="宋体" w:cs="宋体"/>
          <w:b w:val="0"/>
          <w:bCs/>
          <w:color w:val="auto"/>
          <w:sz w:val="24"/>
          <w:highlight w:val="none"/>
        </w:rPr>
      </w:pPr>
      <w:r>
        <w:rPr>
          <w:rFonts w:ascii="宋体" w:hAnsi="宋体" w:cs="宋体"/>
          <w:b w:val="0"/>
          <w:bCs/>
          <w:color w:val="auto"/>
          <w:sz w:val="24"/>
          <w:highlight w:val="none"/>
        </w:rPr>
        <w:t xml:space="preserve">2.2 </w:t>
      </w:r>
      <w:r>
        <w:rPr>
          <w:rFonts w:hint="eastAsia" w:ascii="宋体" w:hAnsi="宋体" w:cs="宋体"/>
          <w:b w:val="0"/>
          <w:bCs/>
          <w:color w:val="auto"/>
          <w:sz w:val="24"/>
          <w:highlight w:val="none"/>
        </w:rPr>
        <w:t>实时通信</w:t>
      </w:r>
    </w:p>
    <w:p w14:paraId="7F034C27">
      <w:pPr>
        <w:pStyle w:val="334"/>
        <w:spacing w:line="480" w:lineRule="exact"/>
        <w:ind w:left="0" w:firstLine="480" w:firstLineChars="200"/>
        <w:jc w:val="left"/>
        <w:rPr>
          <w:b w:val="0"/>
          <w:bCs/>
          <w:color w:val="auto"/>
          <w:sz w:val="24"/>
          <w:highlight w:val="none"/>
        </w:rPr>
      </w:pPr>
      <w:r>
        <w:rPr>
          <w:rFonts w:hint="eastAsia"/>
          <w:b w:val="0"/>
          <w:bCs/>
          <w:color w:val="auto"/>
          <w:sz w:val="24"/>
          <w:highlight w:val="none"/>
        </w:rPr>
        <w:t>接口应支持外部系统实时读取或订阅设备运行过程数据、设备状态数据、报警与事件数据、系统操作日志、能耗数据、产品与工艺追溯信息等数据。不得仅以 Excel、CSV、TXT、本地数据库导出、U 盘拷贝或人工导出等方式替代实时通信接口。文件导出、报表导出或历史数据导出可作为辅助功能，但不得替代实时数据采集、报警事件上送、数据下发、作业请求和执行反馈接口。</w:t>
      </w:r>
    </w:p>
    <w:p w14:paraId="7F034C28">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2.3 双向通信</w:t>
      </w:r>
    </w:p>
    <w:p w14:paraId="7F034C29">
      <w:pPr>
        <w:pStyle w:val="334"/>
        <w:spacing w:line="480" w:lineRule="exact"/>
        <w:ind w:left="0" w:firstLine="480" w:firstLineChars="200"/>
        <w:jc w:val="left"/>
        <w:rPr>
          <w:b w:val="0"/>
          <w:bCs/>
          <w:color w:val="auto"/>
          <w:sz w:val="24"/>
          <w:highlight w:val="none"/>
        </w:rPr>
      </w:pPr>
      <w:r>
        <w:rPr>
          <w:rFonts w:hint="eastAsia"/>
          <w:b w:val="0"/>
          <w:bCs/>
          <w:color w:val="auto"/>
          <w:sz w:val="24"/>
          <w:highlight w:val="none"/>
        </w:rPr>
        <w:t>接口应具备双向通信能力，既支持设备数据上传，也支持外部系统按照约定权限和接口规范进行生产任务、追溯标识、工艺参数、流程选择及作业请求等数据下发，并获取设备端接收、校验、执行和异常反馈结果。</w:t>
      </w:r>
    </w:p>
    <w:p w14:paraId="7F034C2A">
      <w:pPr>
        <w:spacing w:line="480" w:lineRule="exact"/>
        <w:jc w:val="left"/>
        <w:rPr>
          <w:rFonts w:ascii="宋体" w:hAnsi="宋体" w:cs="宋体"/>
          <w:b w:val="0"/>
          <w:bCs/>
          <w:color w:val="auto"/>
          <w:sz w:val="24"/>
          <w:highlight w:val="none"/>
        </w:rPr>
      </w:pPr>
      <w:r>
        <w:rPr>
          <w:rFonts w:ascii="宋体" w:hAnsi="宋体" w:cs="宋体"/>
          <w:b w:val="0"/>
          <w:bCs/>
          <w:color w:val="auto"/>
          <w:sz w:val="24"/>
          <w:highlight w:val="none"/>
        </w:rPr>
        <w:t xml:space="preserve">2.4 </w:t>
      </w:r>
      <w:r>
        <w:rPr>
          <w:rFonts w:hint="eastAsia" w:ascii="宋体" w:hAnsi="宋体" w:cs="宋体"/>
          <w:b w:val="0"/>
          <w:bCs/>
          <w:color w:val="auto"/>
          <w:sz w:val="24"/>
          <w:highlight w:val="none"/>
        </w:rPr>
        <w:t>多客户端并发访问</w:t>
      </w:r>
    </w:p>
    <w:p w14:paraId="7F034C2B">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接口应支持多客户端同时连接，不影响设备正常运行和控制系统稳定性。投标方应说明接口支持的最大连接数、并发访问机制、访问优先级、冲突处理机制和异常连接处理方式。</w:t>
      </w:r>
    </w:p>
    <w:p w14:paraId="7F034C2C">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2.5 数据点表</w:t>
      </w:r>
    </w:p>
    <w:p w14:paraId="7F034C2D">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投标方在投标文件中必须明确：可开放数据范围、数据来源、通讯方式、时间同步方式、数据导出方式，并提供完整数据点表，至少包含：</w:t>
      </w:r>
    </w:p>
    <w:p w14:paraId="7F034C2E">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1.数据点名称</w:t>
      </w:r>
    </w:p>
    <w:p w14:paraId="7F034C2F">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2.数据来源（PLC/仪表/工控机等）</w:t>
      </w:r>
    </w:p>
    <w:p w14:paraId="7F034C30">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3.数据含义</w:t>
      </w:r>
    </w:p>
    <w:p w14:paraId="7F034C31">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4.单位</w:t>
      </w:r>
    </w:p>
    <w:p w14:paraId="7F034C32">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5.数据类型</w:t>
      </w:r>
    </w:p>
    <w:p w14:paraId="7F034C33">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6.取值范围</w:t>
      </w:r>
    </w:p>
    <w:p w14:paraId="7F034C34">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7.允许的刷新周期范围</w:t>
      </w:r>
    </w:p>
    <w:p w14:paraId="7F034C35">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8.精度</w:t>
      </w:r>
    </w:p>
    <w:p w14:paraId="7F034C36">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9.读写属性（只读/可写）</w:t>
      </w:r>
    </w:p>
    <w:p w14:paraId="7F034C37">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10.写入方式、写入限制条件和设备端校验规则</w:t>
      </w:r>
    </w:p>
    <w:p w14:paraId="7F034C38">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11.报警阈值/状态定义</w:t>
      </w:r>
    </w:p>
    <w:p w14:paraId="7F034C39">
      <w:pPr>
        <w:numPr>
          <w:ilvl w:val="255"/>
          <w:numId w:val="0"/>
        </w:num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12.执行反馈内容</w:t>
      </w:r>
    </w:p>
    <w:p w14:paraId="7F034C3A">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数据开放范围与内容</w:t>
      </w:r>
    </w:p>
    <w:p w14:paraId="7F034C3B">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投标方应开放满足设备运行监控、生产管理、自动化作业、质量追溯和系统集成所需的数据。数据类型至少包含以下内容：</w:t>
      </w:r>
    </w:p>
    <w:p w14:paraId="7F034C3C">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（1）工艺过程数据</w:t>
      </w:r>
    </w:p>
    <w:p w14:paraId="7F034C3D">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包括但不限于，功率、电流、电压、温度、真空度、气体流量、压力、冷却水流量、转速、位移、电流、电压、视频流或图片等生产过程中的实时数据。</w:t>
      </w:r>
    </w:p>
    <w:p w14:paraId="7F034C3E">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（2）设备状态数据</w:t>
      </w:r>
    </w:p>
    <w:p w14:paraId="7F034C3F">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包括但不限于，各子系统运行状态、模块在线状态、开关量状态、阀门状态、电机状态、仪表状态、电源状态、通讯状态、设备运行阶段等。</w:t>
      </w:r>
    </w:p>
    <w:p w14:paraId="7F034C40">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（3）报警与事件数据</w:t>
      </w:r>
    </w:p>
    <w:p w14:paraId="7F034C41">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包括但不限于，报警代码、报警内容、报警等级、发生时间、恢复时间、报警位置、报警确认状态、事件日志、异常停机原因、异常拒绝原因等。</w:t>
      </w:r>
    </w:p>
    <w:p w14:paraId="7F034C42">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（4）系统操作日志</w:t>
      </w:r>
    </w:p>
    <w:p w14:paraId="7F034C43">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包括但不限于，设备运行记录、报警记录、操作人记录、参数修改记录、登录登出记录、数据下发记录、任务接受记录、执行请求记录等。</w:t>
      </w:r>
    </w:p>
    <w:p w14:paraId="7F034C44">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（5）能耗数据</w:t>
      </w:r>
    </w:p>
    <w:p w14:paraId="7F034C45">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电、水、气等各类输入能源的实时消耗、累计消耗、功率、瞬时流量等。</w:t>
      </w:r>
    </w:p>
    <w:p w14:paraId="7F034C46">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（6）产品与工艺信息</w:t>
      </w:r>
    </w:p>
    <w:p w14:paraId="7F034C47">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包括但不限于，批次号、产品编号、工艺号、配方号、开始/结束时间以及物料信息等由外部系统下发与生产过程和质量追溯相关的信息。该类信息可由采购方上位机、MES、SCADA 或其他外部系统下发至设备，也应能够与设备运行过程数据、状态数据、报警数据、操作日志和执行结果关联后上传至上层系统。</w:t>
      </w:r>
    </w:p>
    <w:p w14:paraId="7F034C48">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系统集成与自动化作业能力</w:t>
      </w:r>
    </w:p>
    <w:p w14:paraId="7F034C49">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（1）接口应支持与 MES、SCADA、质量追溯、数字孪生等外部系统进行数据集成，实现设备运行数据上传、报警事件上送、生产任务下发、批次信息下发、工艺参数下发、执行状态反馈和过程数据追溯等功能。</w:t>
      </w:r>
    </w:p>
    <w:p w14:paraId="7F034C4A">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对于批次号、产品编号、物料编号、工艺号、配方号等与产品生产和质量追溯高度相关的数据，应采用“外部系统下发—设备端接收绑定—生产过程中关联记录—生产完成后回传结果”的数据流方式。设备在运行过程中产生的过程数据、状态数据、报警数据、操作日志、工艺执行结果等，应能够关联对应的批次号或产品编号等信息，并随数据上传至上层系统，用于生产追溯、质量分析和工艺管理。</w:t>
      </w:r>
    </w:p>
    <w:p w14:paraId="7F034C4B">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接口应支持采购方进行“自动化作业”改造，所谓“自动化作业”是指采购方的上位机或外部系统能够按照预设流程，调用设备控制系统开放且允许的接口功能，替代或减少操作人员在设备上位机、触摸屏或操作面板中进行的常规选择、确认、加载、设备操作、启动请求和状态查询等操作，从而实现生产任务的自动执行。</w:t>
      </w:r>
    </w:p>
    <w:p w14:paraId="7F034C4C">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时间同步与时间戳</w:t>
      </w:r>
    </w:p>
    <w:p w14:paraId="7F034C4D">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（1）设备必须支持NTP网络校时，与工厂服务器自动同步时间。</w:t>
      </w:r>
    </w:p>
    <w:p w14:paraId="7F034C4E">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（2）所有带时钟的硬件时间必须统一，误差在采购方允许的范围内。</w:t>
      </w:r>
    </w:p>
    <w:p w14:paraId="7F034C4F">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（3）所有数据必须带统一、精准的时间戳，时间戳必须为数据产生时刻，而非系统接收时刻。</w:t>
      </w:r>
    </w:p>
    <w:p w14:paraId="7F034C50">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数据质量与稳定性要求</w:t>
      </w:r>
    </w:p>
    <w:p w14:paraId="7F034C51">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接口所提供的数据必须满足以下需求：</w:t>
      </w:r>
    </w:p>
    <w:p w14:paraId="7F034C52">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（1）数据完整性：无丢失、无遗漏、无缺包，全量采集。</w:t>
      </w:r>
    </w:p>
    <w:p w14:paraId="7F034C53">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（2）数据准确性：与现场仪表、上位机显示一致，误差满足工艺要求。</w:t>
      </w:r>
    </w:p>
    <w:p w14:paraId="7F034C54">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实时性：关键过程数据采集频率应满足工艺监控要求，原则上不低于设备上位机或控制系统自身刷新/记录频率。温度、压力、真空度、功率、电流、电压、转速、流量等关键数据的采集周期由双方根据设备类型和工艺要求在数据点表中明确；报警数据应实时上送。</w:t>
      </w:r>
    </w:p>
    <w:p w14:paraId="7F034C55">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（4）断线缓存：支持网络中断时本地缓存，恢复后自动补传，不丢失数据。</w:t>
      </w:r>
    </w:p>
    <w:p w14:paraId="7F034C56">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（5）自动重连：网络异常恢复后，接口自动重连，无需人工干预。</w:t>
      </w:r>
    </w:p>
    <w:p w14:paraId="7F034C57">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（6）数据校验：支持数据校验，保证传输可靠。</w:t>
      </w:r>
    </w:p>
    <w:p w14:paraId="7F034C58">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安全与权限要求</w:t>
      </w:r>
    </w:p>
    <w:p w14:paraId="7F034C59">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（1）支持用户权限、角色权限、指令权限分级管理。</w:t>
      </w:r>
    </w:p>
    <w:p w14:paraId="7F034C5A">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（2）对涉及数据下发、参数修改、配方加载、任务启动、模式切换等控制操作，应具备权限校验、安全联锁、二次确认或设备端确认、操作审计及异常拒绝机制。</w:t>
      </w:r>
    </w:p>
    <w:p w14:paraId="7F034C5B">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（3）支持接口访问认证、加密传输（如 TLS/SSL），防止非法访问。</w:t>
      </w:r>
    </w:p>
    <w:p w14:paraId="7F034C5C">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（4）所有控制操作留痕，可追溯、可审计。</w:t>
      </w:r>
    </w:p>
    <w:p w14:paraId="7F034C5D">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5）外部系统通过接口下发的数据、任务、配方、参数或执行请求，应由设备控制系统进行接收、校验、判断和执行。设备控制系统应对安全联锁、工艺保护、运行状态判断、动作执行和异常处置负责。因外部系统下发数据超出约定范围、格式错误、权限不符或不满足工艺条件导致设备拒绝执行的，设备应反馈明确原因。因设备控制系统未按约定进行校验、联锁保护、异常拒绝或执行反馈导致的问题，应由投标方承担相应责任。</w:t>
      </w:r>
    </w:p>
    <w:p w14:paraId="7F034C5E">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联调、测试与验收</w:t>
      </w:r>
    </w:p>
    <w:p w14:paraId="7F034C5F">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（1）投标方必须全程配合采购方或第三方完成接口开发、联调、测试、验收。</w:t>
      </w:r>
    </w:p>
    <w:p w14:paraId="7F034C60">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（2）验收内容包括：</w:t>
      </w:r>
    </w:p>
    <w:p w14:paraId="7F034C61">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1）通信连通性与稳定性</w:t>
      </w:r>
    </w:p>
    <w:p w14:paraId="7F034C62">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2）数据完整性、准确性、实时性</w:t>
      </w:r>
    </w:p>
    <w:p w14:paraId="7F034C63">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3）时间戳一致性</w:t>
      </w:r>
    </w:p>
    <w:p w14:paraId="7F034C64">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3）采集频率达标</w:t>
      </w:r>
    </w:p>
    <w:p w14:paraId="7F034C65">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4）报警实时上送</w:t>
      </w:r>
    </w:p>
    <w:p w14:paraId="7F034C66">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5）断线缓存与重连</w:t>
      </w:r>
    </w:p>
    <w:p w14:paraId="7F034C67">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6）数据下发功能可用</w:t>
      </w:r>
    </w:p>
    <w:p w14:paraId="7F034C68">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7）自动化作业功能可用</w:t>
      </w:r>
    </w:p>
    <w:p w14:paraId="7F034C69">
      <w:pPr>
        <w:pStyle w:val="334"/>
        <w:numPr>
          <w:ilvl w:val="255"/>
          <w:numId w:val="0"/>
        </w:numPr>
        <w:spacing w:line="480" w:lineRule="exact"/>
        <w:jc w:val="left"/>
        <w:rPr>
          <w:b w:val="0"/>
          <w:bCs/>
          <w:color w:val="auto"/>
          <w:sz w:val="24"/>
          <w:highlight w:val="none"/>
        </w:rPr>
      </w:pPr>
      <w:r>
        <w:rPr>
          <w:rFonts w:hint="eastAsia"/>
          <w:b w:val="0"/>
          <w:bCs/>
          <w:color w:val="auto"/>
          <w:sz w:val="24"/>
          <w:highlight w:val="none"/>
        </w:rPr>
        <w:t>8）文档与点表完整准确</w:t>
      </w:r>
    </w:p>
    <w:p w14:paraId="7F034C6A">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（3）验收不通过，投标方必须无偿整改至合格。</w:t>
      </w:r>
    </w:p>
    <w:p w14:paraId="7F034C6B">
      <w:pPr>
        <w:numPr>
          <w:ilvl w:val="0"/>
          <w:numId w:val="14"/>
        </w:numPr>
        <w:spacing w:line="480" w:lineRule="exact"/>
        <w:ind w:left="0" w:firstLine="0"/>
        <w:rPr>
          <w:rFonts w:ascii="宋体" w:hAnsi="宋体" w:cs="宋体"/>
          <w:b w:val="0"/>
          <w:bCs/>
          <w:color w:val="auto"/>
          <w:sz w:val="24"/>
          <w:highlight w:val="none"/>
        </w:rPr>
      </w:pPr>
      <w:r>
        <w:rPr>
          <w:rFonts w:hint="eastAsia" w:ascii="宋体" w:hAnsi="宋体" w:cs="宋体"/>
          <w:b w:val="0"/>
          <w:bCs/>
          <w:color w:val="auto"/>
          <w:sz w:val="24"/>
          <w:highlight w:val="none"/>
        </w:rPr>
        <w:t>交付物</w:t>
      </w:r>
    </w:p>
    <w:p w14:paraId="7F034C6C">
      <w:pPr>
        <w:spacing w:line="480" w:lineRule="exact"/>
        <w:ind w:firstLine="480" w:firstLineChars="200"/>
        <w:jc w:val="left"/>
        <w:rPr>
          <w:rFonts w:ascii="宋体" w:hAnsi="宋体" w:cs="宋体"/>
          <w:b w:val="0"/>
          <w:bCs/>
          <w:color w:val="auto"/>
          <w:sz w:val="24"/>
          <w:highlight w:val="none"/>
        </w:rPr>
      </w:pPr>
      <w:r>
        <w:rPr>
          <w:rFonts w:hint="eastAsia" w:ascii="宋体" w:hAnsi="宋体" w:cs="宋体"/>
          <w:b w:val="0"/>
          <w:bCs/>
          <w:color w:val="auto"/>
          <w:sz w:val="24"/>
          <w:highlight w:val="none"/>
        </w:rPr>
        <w:t>投标方需提供：</w:t>
      </w:r>
    </w:p>
    <w:p w14:paraId="7F034C6D">
      <w:pPr>
        <w:spacing w:line="480" w:lineRule="exact"/>
        <w:jc w:val="left"/>
        <w:rPr>
          <w:rFonts w:ascii="宋体" w:hAnsi="宋体" w:cs="宋体"/>
          <w:b w:val="0"/>
          <w:bCs/>
          <w:color w:val="auto"/>
          <w:sz w:val="24"/>
          <w:highlight w:val="none"/>
        </w:rPr>
      </w:pPr>
      <w:r>
        <w:rPr>
          <w:rFonts w:hint="eastAsia" w:ascii="宋体" w:hAnsi="宋体" w:cs="宋体"/>
          <w:b w:val="0"/>
          <w:bCs/>
          <w:color w:val="auto"/>
          <w:sz w:val="24"/>
          <w:highlight w:val="none"/>
        </w:rPr>
        <w:t>（1）完整数据点表；</w:t>
      </w:r>
      <w:r>
        <w:rPr>
          <w:rFonts w:hint="eastAsia" w:ascii="宋体" w:hAnsi="宋体" w:cs="宋体"/>
          <w:b w:val="0"/>
          <w:bCs/>
          <w:color w:val="auto"/>
          <w:sz w:val="24"/>
          <w:highlight w:val="none"/>
        </w:rPr>
        <w:br w:type="textWrapping"/>
      </w:r>
      <w:r>
        <w:rPr>
          <w:rFonts w:hint="eastAsia" w:ascii="宋体" w:hAnsi="宋体" w:cs="宋体"/>
          <w:b w:val="0"/>
          <w:bCs/>
          <w:color w:val="auto"/>
          <w:sz w:val="24"/>
          <w:highlight w:val="none"/>
        </w:rPr>
        <w:t>（2）通信协议说明书；</w:t>
      </w:r>
      <w:r>
        <w:rPr>
          <w:rFonts w:hint="eastAsia" w:ascii="宋体" w:hAnsi="宋体" w:cs="宋体"/>
          <w:b w:val="0"/>
          <w:bCs/>
          <w:color w:val="auto"/>
          <w:sz w:val="24"/>
          <w:highlight w:val="none"/>
        </w:rPr>
        <w:br w:type="textWrapping"/>
      </w:r>
      <w:r>
        <w:rPr>
          <w:rFonts w:hint="eastAsia" w:ascii="宋体" w:hAnsi="宋体" w:cs="宋体"/>
          <w:b w:val="0"/>
          <w:bCs/>
          <w:color w:val="auto"/>
          <w:sz w:val="24"/>
          <w:highlight w:val="none"/>
        </w:rPr>
        <w:t>（3）报警、事件、异常代码表；</w:t>
      </w:r>
      <w:r>
        <w:rPr>
          <w:rFonts w:hint="eastAsia" w:ascii="宋体" w:hAnsi="宋体" w:cs="宋体"/>
          <w:b w:val="0"/>
          <w:bCs/>
          <w:color w:val="auto"/>
          <w:sz w:val="24"/>
          <w:highlight w:val="none"/>
        </w:rPr>
        <w:br w:type="textWrapping"/>
      </w:r>
      <w:r>
        <w:rPr>
          <w:rFonts w:hint="eastAsia" w:ascii="宋体" w:hAnsi="宋体" w:cs="宋体"/>
          <w:b w:val="0"/>
          <w:bCs/>
          <w:color w:val="auto"/>
          <w:sz w:val="24"/>
          <w:highlight w:val="none"/>
        </w:rPr>
        <w:t>（4）写入接口及执行反馈说明；</w:t>
      </w:r>
      <w:r>
        <w:rPr>
          <w:rFonts w:hint="eastAsia" w:ascii="宋体" w:hAnsi="宋体" w:cs="宋体"/>
          <w:b w:val="0"/>
          <w:bCs/>
          <w:color w:val="auto"/>
          <w:sz w:val="24"/>
          <w:highlight w:val="none"/>
        </w:rPr>
        <w:br w:type="textWrapping"/>
      </w:r>
      <w:r>
        <w:rPr>
          <w:rFonts w:hint="eastAsia" w:ascii="宋体" w:hAnsi="宋体" w:cs="宋体"/>
          <w:b w:val="0"/>
          <w:bCs/>
          <w:color w:val="auto"/>
          <w:sz w:val="24"/>
          <w:highlight w:val="none"/>
        </w:rPr>
        <w:t>（5）权限配置说明；</w:t>
      </w:r>
      <w:r>
        <w:rPr>
          <w:rFonts w:hint="eastAsia" w:ascii="宋体" w:hAnsi="宋体" w:cs="宋体"/>
          <w:b w:val="0"/>
          <w:bCs/>
          <w:color w:val="auto"/>
          <w:sz w:val="24"/>
          <w:highlight w:val="none"/>
        </w:rPr>
        <w:br w:type="textWrapping"/>
      </w:r>
      <w:r>
        <w:rPr>
          <w:rFonts w:hint="eastAsia" w:ascii="宋体" w:hAnsi="宋体" w:cs="宋体"/>
          <w:b w:val="0"/>
          <w:bCs/>
          <w:color w:val="auto"/>
          <w:sz w:val="24"/>
          <w:highlight w:val="none"/>
        </w:rPr>
        <w:t>（6）联调测试报告。</w:t>
      </w:r>
    </w:p>
    <w:p w14:paraId="7F034C6E">
      <w:pPr>
        <w:spacing w:line="440" w:lineRule="exact"/>
        <w:ind w:firstLine="420" w:firstLineChars="200"/>
        <w:rPr>
          <w:rFonts w:ascii="宋体" w:hAnsi="宋体" w:cs="宋体"/>
          <w:b w:val="0"/>
          <w:bCs/>
          <w:color w:val="auto"/>
          <w:szCs w:val="21"/>
          <w:highlight w:val="none"/>
        </w:rPr>
      </w:pPr>
    </w:p>
    <w:p w14:paraId="7F034C6F">
      <w:pPr>
        <w:spacing w:line="440" w:lineRule="exact"/>
        <w:ind w:firstLine="420" w:firstLineChars="200"/>
        <w:rPr>
          <w:rFonts w:ascii="宋体" w:hAnsi="宋体" w:cs="宋体"/>
          <w:b w:val="0"/>
          <w:bCs/>
          <w:color w:val="auto"/>
          <w:szCs w:val="21"/>
          <w:highlight w:val="none"/>
        </w:rPr>
      </w:pPr>
    </w:p>
    <w:p w14:paraId="7F034C70">
      <w:pPr>
        <w:spacing w:line="440" w:lineRule="exact"/>
        <w:ind w:firstLine="420" w:firstLineChars="200"/>
        <w:rPr>
          <w:rFonts w:ascii="宋体" w:hAnsi="宋体" w:cs="宋体"/>
          <w:b w:val="0"/>
          <w:bCs/>
          <w:color w:val="auto"/>
          <w:szCs w:val="21"/>
          <w:highlight w:val="none"/>
        </w:rPr>
      </w:pPr>
    </w:p>
    <w:p w14:paraId="7F034C71">
      <w:pPr>
        <w:spacing w:line="440" w:lineRule="exact"/>
        <w:ind w:firstLine="420" w:firstLineChars="200"/>
        <w:rPr>
          <w:rFonts w:ascii="宋体" w:hAnsi="宋体" w:cs="宋体"/>
          <w:b w:val="0"/>
          <w:bCs/>
          <w:color w:val="auto"/>
          <w:szCs w:val="21"/>
          <w:highlight w:val="none"/>
        </w:rPr>
      </w:pPr>
    </w:p>
    <w:p w14:paraId="7F034C72">
      <w:pPr>
        <w:spacing w:line="440" w:lineRule="exact"/>
        <w:ind w:firstLine="420" w:firstLineChars="200"/>
        <w:rPr>
          <w:rFonts w:ascii="宋体" w:hAnsi="宋体" w:cs="宋体"/>
          <w:b w:val="0"/>
          <w:bCs/>
          <w:color w:val="auto"/>
          <w:szCs w:val="21"/>
          <w:highlight w:val="none"/>
        </w:rPr>
      </w:pPr>
    </w:p>
    <w:p w14:paraId="7F034C73">
      <w:pPr>
        <w:spacing w:line="440" w:lineRule="exact"/>
        <w:ind w:firstLine="420" w:firstLineChars="200"/>
        <w:rPr>
          <w:rFonts w:ascii="宋体" w:hAnsi="宋体" w:cs="宋体"/>
          <w:b w:val="0"/>
          <w:bCs/>
          <w:color w:val="auto"/>
          <w:szCs w:val="21"/>
          <w:highlight w:val="none"/>
        </w:rPr>
      </w:pPr>
    </w:p>
    <w:p w14:paraId="7F034C74">
      <w:pPr>
        <w:spacing w:line="440" w:lineRule="exact"/>
        <w:ind w:firstLine="420" w:firstLineChars="200"/>
        <w:rPr>
          <w:rFonts w:ascii="宋体" w:hAnsi="宋体" w:cs="宋体"/>
          <w:b w:val="0"/>
          <w:bCs/>
          <w:color w:val="auto"/>
          <w:szCs w:val="21"/>
          <w:highlight w:val="none"/>
        </w:rPr>
      </w:pPr>
    </w:p>
    <w:p w14:paraId="7F034C75">
      <w:pPr>
        <w:spacing w:line="440" w:lineRule="exact"/>
        <w:ind w:firstLine="420" w:firstLineChars="200"/>
        <w:rPr>
          <w:rFonts w:ascii="宋体" w:hAnsi="宋体" w:cs="宋体"/>
          <w:b w:val="0"/>
          <w:bCs/>
          <w:color w:val="auto"/>
          <w:szCs w:val="21"/>
          <w:highlight w:val="none"/>
        </w:rPr>
      </w:pPr>
    </w:p>
    <w:p w14:paraId="7F034C76">
      <w:pPr>
        <w:spacing w:line="440" w:lineRule="exact"/>
        <w:ind w:firstLine="420" w:firstLineChars="200"/>
        <w:rPr>
          <w:rFonts w:hint="eastAsia" w:ascii="宋体" w:hAnsi="宋体" w:cs="宋体"/>
          <w:b w:val="0"/>
          <w:bCs/>
          <w:color w:val="auto"/>
          <w:szCs w:val="21"/>
          <w:highlight w:val="none"/>
        </w:rPr>
      </w:pPr>
    </w:p>
    <w:p w14:paraId="7F034C77">
      <w:pPr>
        <w:spacing w:line="440" w:lineRule="exact"/>
        <w:ind w:firstLine="420" w:firstLineChars="200"/>
        <w:rPr>
          <w:rFonts w:hint="eastAsia" w:ascii="宋体" w:hAnsi="宋体" w:cs="宋体"/>
          <w:b w:val="0"/>
          <w:bCs/>
          <w:color w:val="auto"/>
          <w:szCs w:val="21"/>
          <w:highlight w:val="none"/>
        </w:rPr>
      </w:pPr>
    </w:p>
    <w:p w14:paraId="7F034C78">
      <w:pPr>
        <w:spacing w:line="440" w:lineRule="exact"/>
        <w:ind w:firstLine="420" w:firstLineChars="200"/>
        <w:rPr>
          <w:rFonts w:hint="eastAsia" w:ascii="宋体" w:hAnsi="宋体" w:cs="宋体"/>
          <w:b w:val="0"/>
          <w:bCs/>
          <w:color w:val="auto"/>
          <w:szCs w:val="21"/>
          <w:highlight w:val="none"/>
        </w:rPr>
      </w:pPr>
    </w:p>
    <w:p w14:paraId="7F034C79">
      <w:pPr>
        <w:spacing w:line="440" w:lineRule="exact"/>
        <w:ind w:firstLine="420" w:firstLineChars="200"/>
        <w:rPr>
          <w:rFonts w:hint="eastAsia" w:ascii="宋体" w:hAnsi="宋体" w:cs="宋体"/>
          <w:b w:val="0"/>
          <w:bCs/>
          <w:color w:val="auto"/>
          <w:szCs w:val="21"/>
          <w:highlight w:val="none"/>
        </w:rPr>
      </w:pPr>
    </w:p>
    <w:p w14:paraId="7F034C7A">
      <w:pPr>
        <w:spacing w:line="440" w:lineRule="exact"/>
        <w:ind w:firstLine="420" w:firstLineChars="200"/>
        <w:rPr>
          <w:rFonts w:hint="eastAsia" w:ascii="宋体" w:hAnsi="宋体" w:cs="宋体"/>
          <w:b w:val="0"/>
          <w:bCs/>
          <w:color w:val="auto"/>
          <w:szCs w:val="21"/>
          <w:highlight w:val="none"/>
        </w:rPr>
      </w:pPr>
    </w:p>
    <w:p w14:paraId="7F034C7B">
      <w:pPr>
        <w:spacing w:line="440" w:lineRule="exact"/>
        <w:ind w:firstLine="420" w:firstLineChars="200"/>
        <w:rPr>
          <w:rFonts w:hint="eastAsia" w:ascii="宋体" w:hAnsi="宋体" w:cs="宋体"/>
          <w:b w:val="0"/>
          <w:bCs/>
          <w:color w:val="auto"/>
          <w:szCs w:val="21"/>
          <w:highlight w:val="none"/>
        </w:rPr>
      </w:pPr>
    </w:p>
    <w:p w14:paraId="7F034C7C">
      <w:pPr>
        <w:spacing w:line="440" w:lineRule="exact"/>
        <w:ind w:firstLine="420" w:firstLineChars="200"/>
        <w:rPr>
          <w:rFonts w:hint="eastAsia" w:ascii="宋体" w:hAnsi="宋体" w:cs="宋体"/>
          <w:b w:val="0"/>
          <w:bCs/>
          <w:color w:val="auto"/>
          <w:szCs w:val="21"/>
          <w:highlight w:val="none"/>
        </w:rPr>
      </w:pPr>
    </w:p>
    <w:p w14:paraId="7F034C7D">
      <w:pPr>
        <w:spacing w:line="440" w:lineRule="exact"/>
        <w:ind w:firstLine="420" w:firstLineChars="200"/>
        <w:rPr>
          <w:rFonts w:hint="eastAsia" w:ascii="宋体" w:hAnsi="宋体" w:cs="宋体"/>
          <w:b w:val="0"/>
          <w:bCs/>
          <w:color w:val="auto"/>
          <w:szCs w:val="21"/>
          <w:highlight w:val="none"/>
        </w:rPr>
      </w:pPr>
    </w:p>
    <w:p w14:paraId="7F034C7E">
      <w:pPr>
        <w:spacing w:line="440" w:lineRule="exact"/>
        <w:ind w:firstLine="420" w:firstLineChars="200"/>
        <w:rPr>
          <w:rFonts w:hint="eastAsia" w:ascii="宋体" w:hAnsi="宋体" w:cs="宋体"/>
          <w:b w:val="0"/>
          <w:bCs/>
          <w:color w:val="auto"/>
          <w:szCs w:val="21"/>
          <w:highlight w:val="none"/>
        </w:rPr>
      </w:pPr>
    </w:p>
    <w:p w14:paraId="7F034C7F">
      <w:pPr>
        <w:spacing w:line="440" w:lineRule="exact"/>
        <w:ind w:firstLine="420" w:firstLineChars="200"/>
        <w:rPr>
          <w:rFonts w:hint="eastAsia" w:ascii="宋体" w:hAnsi="宋体" w:cs="宋体"/>
          <w:b w:val="0"/>
          <w:bCs/>
          <w:color w:val="auto"/>
          <w:szCs w:val="21"/>
          <w:highlight w:val="none"/>
        </w:rPr>
      </w:pPr>
    </w:p>
    <w:p w14:paraId="7F034C80">
      <w:pPr>
        <w:spacing w:line="440" w:lineRule="exact"/>
        <w:ind w:firstLine="420" w:firstLineChars="200"/>
        <w:rPr>
          <w:rFonts w:hint="eastAsia" w:ascii="宋体" w:hAnsi="宋体" w:cs="宋体"/>
          <w:b w:val="0"/>
          <w:bCs/>
          <w:color w:val="auto"/>
          <w:szCs w:val="21"/>
          <w:highlight w:val="none"/>
        </w:rPr>
      </w:pPr>
    </w:p>
    <w:p w14:paraId="7F034C81">
      <w:pPr>
        <w:spacing w:line="440" w:lineRule="exact"/>
        <w:ind w:firstLine="420" w:firstLineChars="200"/>
        <w:rPr>
          <w:rFonts w:hint="eastAsia" w:ascii="宋体" w:hAnsi="宋体" w:cs="宋体"/>
          <w:b w:val="0"/>
          <w:bCs/>
          <w:color w:val="auto"/>
          <w:szCs w:val="21"/>
          <w:highlight w:val="none"/>
        </w:rPr>
      </w:pPr>
    </w:p>
    <w:p w14:paraId="7F034C82">
      <w:pPr>
        <w:spacing w:line="440" w:lineRule="exact"/>
        <w:ind w:firstLine="420" w:firstLineChars="200"/>
        <w:rPr>
          <w:rFonts w:hint="eastAsia" w:ascii="宋体" w:hAnsi="宋体" w:cs="宋体"/>
          <w:b w:val="0"/>
          <w:bCs/>
          <w:color w:val="auto"/>
          <w:szCs w:val="21"/>
          <w:highlight w:val="none"/>
        </w:rPr>
      </w:pPr>
    </w:p>
    <w:p w14:paraId="7F034C83">
      <w:pPr>
        <w:spacing w:line="440" w:lineRule="exact"/>
        <w:ind w:firstLine="420" w:firstLineChars="200"/>
        <w:rPr>
          <w:rFonts w:ascii="宋体" w:hAnsi="宋体" w:cs="宋体"/>
          <w:b w:val="0"/>
          <w:bCs/>
          <w:color w:val="auto"/>
          <w:szCs w:val="21"/>
          <w:highlight w:val="none"/>
        </w:rPr>
      </w:pPr>
    </w:p>
    <w:p w14:paraId="7F034C84">
      <w:pPr>
        <w:spacing w:line="440" w:lineRule="exact"/>
        <w:ind w:firstLine="420" w:firstLineChars="200"/>
        <w:rPr>
          <w:rFonts w:ascii="宋体" w:hAnsi="宋体" w:cs="宋体"/>
          <w:b w:val="0"/>
          <w:bCs/>
          <w:color w:val="auto"/>
          <w:szCs w:val="21"/>
          <w:highlight w:val="none"/>
        </w:rPr>
      </w:pPr>
    </w:p>
    <w:bookmarkEnd w:id="919"/>
    <w:bookmarkEnd w:id="920"/>
    <w:p w14:paraId="7F034C91">
      <w:pPr>
        <w:pStyle w:val="3"/>
        <w:spacing w:before="0" w:after="0" w:line="360" w:lineRule="auto"/>
        <w:jc w:val="center"/>
        <w:rPr>
          <w:rFonts w:hint="eastAsia" w:ascii="宋体" w:hAnsi="宋体" w:cs="宋体"/>
          <w:b w:val="0"/>
          <w:bCs/>
          <w:color w:val="auto"/>
          <w:sz w:val="52"/>
          <w:szCs w:val="52"/>
          <w:highlight w:val="none"/>
        </w:rPr>
      </w:pPr>
      <w:bookmarkStart w:id="957" w:name="_Toc31598"/>
      <w:r>
        <w:rPr>
          <w:rFonts w:hint="eastAsia" w:ascii="宋体" w:hAnsi="宋体" w:cs="宋体"/>
          <w:b w:val="0"/>
          <w:bCs/>
          <w:color w:val="auto"/>
          <w:sz w:val="52"/>
          <w:szCs w:val="52"/>
          <w:highlight w:val="none"/>
        </w:rPr>
        <w:t>第 三 卷</w:t>
      </w:r>
      <w:bookmarkEnd w:id="957"/>
      <w:bookmarkStart w:id="958" w:name="_Toc509218847"/>
      <w:bookmarkStart w:id="959" w:name="_Toc13210772"/>
      <w:bookmarkStart w:id="960" w:name="_Toc13211206"/>
      <w:bookmarkStart w:id="961" w:name="_Toc536797121"/>
      <w:bookmarkStart w:id="962" w:name="_Toc536620100"/>
      <w:bookmarkStart w:id="963" w:name="_Toc536621880"/>
      <w:bookmarkStart w:id="964" w:name="_Toc536797390"/>
      <w:bookmarkStart w:id="965" w:name="_Toc536796986"/>
      <w:bookmarkStart w:id="966" w:name="_Toc13211764"/>
      <w:bookmarkStart w:id="967" w:name="_Toc536797255"/>
      <w:bookmarkStart w:id="968" w:name="_Toc536619968"/>
      <w:bookmarkStart w:id="969" w:name="_Toc536628344"/>
      <w:bookmarkStart w:id="970" w:name="_Toc534185826"/>
      <w:bookmarkStart w:id="971" w:name="_Toc536796850"/>
    </w:p>
    <w:bookmarkEnd w:id="958"/>
    <w:p w14:paraId="7F034C92">
      <w:pPr>
        <w:rPr>
          <w:rFonts w:ascii="宋体" w:hAnsi="宋体" w:cs="宋体"/>
          <w:b w:val="0"/>
          <w:bCs/>
          <w:color w:val="auto"/>
          <w:highlight w:val="none"/>
        </w:rPr>
      </w:pPr>
      <w:r>
        <w:rPr>
          <w:rFonts w:ascii="宋体" w:hAnsi="宋体" w:cs="宋体"/>
          <w:b w:val="0"/>
          <w:bCs/>
          <w:color w:val="auto"/>
          <w:highlight w:val="none"/>
        </w:rPr>
        <w:br w:type="page"/>
      </w:r>
      <w:bookmarkEnd w:id="959"/>
      <w:bookmarkEnd w:id="960"/>
      <w:bookmarkEnd w:id="961"/>
      <w:bookmarkEnd w:id="962"/>
      <w:bookmarkEnd w:id="963"/>
      <w:bookmarkEnd w:id="964"/>
      <w:bookmarkEnd w:id="965"/>
      <w:bookmarkEnd w:id="966"/>
      <w:bookmarkEnd w:id="967"/>
      <w:bookmarkEnd w:id="968"/>
      <w:bookmarkEnd w:id="969"/>
      <w:bookmarkEnd w:id="970"/>
      <w:bookmarkEnd w:id="971"/>
    </w:p>
    <w:p w14:paraId="7F034C93">
      <w:pPr>
        <w:pStyle w:val="3"/>
        <w:spacing w:line="360" w:lineRule="auto"/>
        <w:jc w:val="center"/>
        <w:rPr>
          <w:rFonts w:hint="eastAsia" w:ascii="宋体" w:hAnsi="宋体" w:cs="宋体"/>
          <w:b w:val="0"/>
          <w:bCs/>
          <w:color w:val="auto"/>
          <w:highlight w:val="none"/>
        </w:rPr>
      </w:pPr>
      <w:bookmarkStart w:id="972" w:name="招标文件07章技术标准和要求"/>
      <w:bookmarkEnd w:id="972"/>
      <w:bookmarkStart w:id="973" w:name="_Toc287607865"/>
      <w:bookmarkStart w:id="974" w:name="_Toc29807"/>
      <w:bookmarkStart w:id="975" w:name="_Toc509218852"/>
      <w:bookmarkStart w:id="976" w:name="_Toc430530528"/>
      <w:bookmarkStart w:id="977" w:name="_Toc287620812"/>
      <w:bookmarkStart w:id="978" w:name="_Toc534185829"/>
      <w:r>
        <w:rPr>
          <w:rFonts w:hint="eastAsia" w:ascii="宋体" w:hAnsi="宋体" w:cs="宋体"/>
          <w:b w:val="0"/>
          <w:bCs/>
          <w:color w:val="auto"/>
          <w:highlight w:val="none"/>
        </w:rPr>
        <w:t>第六章  投标文件格式</w:t>
      </w:r>
      <w:bookmarkEnd w:id="973"/>
      <w:bookmarkEnd w:id="974"/>
      <w:bookmarkEnd w:id="975"/>
      <w:bookmarkEnd w:id="976"/>
      <w:bookmarkEnd w:id="977"/>
      <w:bookmarkEnd w:id="978"/>
    </w:p>
    <w:p w14:paraId="7F034C94">
      <w:pPr>
        <w:spacing w:line="360" w:lineRule="auto"/>
        <w:rPr>
          <w:rFonts w:hint="eastAsia" w:ascii="宋体" w:hAnsi="宋体" w:cs="宋体"/>
          <w:b w:val="0"/>
          <w:bCs/>
          <w:color w:val="auto"/>
          <w:sz w:val="32"/>
          <w:szCs w:val="32"/>
          <w:highlight w:val="none"/>
        </w:rPr>
      </w:pPr>
    </w:p>
    <w:p w14:paraId="7F034C96">
      <w:pPr>
        <w:spacing w:line="360" w:lineRule="auto"/>
        <w:jc w:val="center"/>
        <w:rPr>
          <w:rFonts w:hint="eastAsia" w:ascii="宋体" w:hAnsi="宋体" w:cs="宋体"/>
          <w:b w:val="0"/>
          <w:bCs/>
          <w:color w:val="auto"/>
          <w:szCs w:val="20"/>
          <w:highlight w:val="none"/>
        </w:rPr>
      </w:pPr>
      <w:r>
        <w:rPr>
          <w:rFonts w:hint="eastAsia" w:ascii="宋体" w:hAnsi="宋体" w:cs="宋体"/>
          <w:b w:val="0"/>
          <w:bCs/>
          <w:color w:val="auto"/>
          <w:szCs w:val="20"/>
          <w:highlight w:val="none"/>
        </w:rPr>
        <w:br w:type="page"/>
      </w:r>
      <w:bookmarkStart w:id="979" w:name="_Toc224103493"/>
      <w:r>
        <w:rPr>
          <w:rFonts w:hint="eastAsia" w:ascii="宋体" w:hAnsi="宋体" w:cs="宋体"/>
          <w:b w:val="0"/>
          <w:bCs/>
          <w:color w:val="auto"/>
          <w:sz w:val="36"/>
          <w:szCs w:val="36"/>
          <w:highlight w:val="none"/>
        </w:rPr>
        <w:t>目  录</w:t>
      </w:r>
      <w:bookmarkEnd w:id="979"/>
    </w:p>
    <w:p w14:paraId="7F034C97">
      <w:pPr>
        <w:spacing w:line="360" w:lineRule="auto"/>
        <w:rPr>
          <w:rFonts w:hint="eastAsia" w:ascii="宋体" w:hAnsi="宋体" w:cs="宋体"/>
          <w:b w:val="0"/>
          <w:bCs/>
          <w:color w:val="auto"/>
          <w:highlight w:val="none"/>
        </w:rPr>
      </w:pPr>
      <w:r>
        <w:rPr>
          <w:rFonts w:hint="eastAsia" w:ascii="宋体" w:hAnsi="宋体" w:cs="宋体"/>
          <w:b w:val="0"/>
          <w:bCs/>
          <w:color w:val="auto"/>
          <w:highlight w:val="none"/>
        </w:rPr>
        <w:t>一、投标函部分</w:t>
      </w:r>
    </w:p>
    <w:p w14:paraId="7F034C98">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（一）投标函</w:t>
      </w:r>
    </w:p>
    <w:p w14:paraId="7F034C99">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（二）分项报价表（如有）</w:t>
      </w:r>
    </w:p>
    <w:p w14:paraId="7F034C9A">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（三）投标报价合理性说明（如有）</w:t>
      </w:r>
    </w:p>
    <w:p w14:paraId="7F034C9B">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（四）法定代表人身份证明或授权委托书</w:t>
      </w:r>
    </w:p>
    <w:p w14:paraId="7F034C9C">
      <w:pPr>
        <w:spacing w:line="360" w:lineRule="auto"/>
        <w:rPr>
          <w:rFonts w:hint="eastAsia" w:ascii="宋体" w:hAnsi="宋体" w:cs="宋体"/>
          <w:b w:val="0"/>
          <w:bCs/>
          <w:color w:val="auto"/>
          <w:highlight w:val="none"/>
        </w:rPr>
      </w:pPr>
      <w:r>
        <w:rPr>
          <w:rFonts w:hint="eastAsia" w:ascii="宋体" w:hAnsi="宋体" w:cs="宋体"/>
          <w:b w:val="0"/>
          <w:bCs/>
          <w:color w:val="auto"/>
          <w:highlight w:val="none"/>
        </w:rPr>
        <w:t>二、商务部分（如有）</w:t>
      </w:r>
    </w:p>
    <w:p w14:paraId="7F034C9D">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（一）供货要求负偏差表（如有）</w:t>
      </w:r>
    </w:p>
    <w:p w14:paraId="7F034C9E">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（二）其他资料（如有）</w:t>
      </w:r>
    </w:p>
    <w:p w14:paraId="7F034C9F">
      <w:pPr>
        <w:spacing w:line="360" w:lineRule="auto"/>
        <w:rPr>
          <w:rFonts w:hint="eastAsia" w:ascii="宋体" w:hAnsi="宋体" w:cs="宋体"/>
          <w:b w:val="0"/>
          <w:bCs/>
          <w:color w:val="auto"/>
          <w:highlight w:val="none"/>
        </w:rPr>
      </w:pPr>
      <w:r>
        <w:rPr>
          <w:rFonts w:hint="eastAsia" w:ascii="宋体" w:hAnsi="宋体" w:cs="宋体"/>
          <w:b w:val="0"/>
          <w:bCs/>
          <w:color w:val="auto"/>
          <w:highlight w:val="none"/>
        </w:rPr>
        <w:t>三、技术部分（如有）</w:t>
      </w:r>
    </w:p>
    <w:p w14:paraId="7F034CA0">
      <w:pPr>
        <w:spacing w:line="360" w:lineRule="auto"/>
        <w:rPr>
          <w:rFonts w:hint="eastAsia" w:ascii="宋体" w:hAnsi="宋体" w:cs="宋体"/>
          <w:b w:val="0"/>
          <w:bCs/>
          <w:color w:val="auto"/>
          <w:highlight w:val="none"/>
        </w:rPr>
      </w:pPr>
      <w:r>
        <w:rPr>
          <w:rFonts w:hint="eastAsia" w:ascii="宋体" w:hAnsi="宋体" w:cs="宋体"/>
          <w:b w:val="0"/>
          <w:bCs/>
          <w:color w:val="auto"/>
          <w:highlight w:val="none"/>
        </w:rPr>
        <w:t>四、资格审查部分</w:t>
      </w:r>
    </w:p>
    <w:p w14:paraId="7F034CA1">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（一）法定代表人身份证明或授权委托书</w:t>
      </w:r>
    </w:p>
    <w:p w14:paraId="7F034CA2">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（二）制造商资格声明</w:t>
      </w:r>
      <w:r>
        <w:rPr>
          <w:rFonts w:hint="eastAsia" w:ascii="宋体" w:hAnsi="宋体" w:cs="宋体"/>
          <w:b w:val="0"/>
          <w:bCs/>
          <w:color w:val="auto"/>
          <w:szCs w:val="21"/>
          <w:highlight w:val="none"/>
        </w:rPr>
        <w:t>（制造商投标时提供）</w:t>
      </w:r>
      <w:r>
        <w:rPr>
          <w:rFonts w:hint="eastAsia" w:ascii="宋体" w:hAnsi="宋体" w:cs="宋体"/>
          <w:b w:val="0"/>
          <w:bCs/>
          <w:snapToGrid w:val="0"/>
          <w:color w:val="auto"/>
          <w:highlight w:val="none"/>
        </w:rPr>
        <w:t>或</w:t>
      </w:r>
      <w:r>
        <w:rPr>
          <w:rFonts w:hint="eastAsia" w:ascii="宋体" w:hAnsi="宋体" w:cs="宋体"/>
          <w:b w:val="0"/>
          <w:bCs/>
          <w:color w:val="auto"/>
          <w:szCs w:val="21"/>
          <w:highlight w:val="none"/>
        </w:rPr>
        <w:t>制造商授权书（代理商投标时提供）</w:t>
      </w:r>
    </w:p>
    <w:p w14:paraId="7F034CA3">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（三）承诺</w:t>
      </w:r>
    </w:p>
    <w:p w14:paraId="7F034CA4">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（四）其他资料</w:t>
      </w:r>
    </w:p>
    <w:p w14:paraId="7F034CA5">
      <w:pPr>
        <w:spacing w:line="360" w:lineRule="auto"/>
        <w:ind w:firstLine="420" w:firstLineChars="200"/>
        <w:rPr>
          <w:rFonts w:ascii="宋体" w:hAnsi="宋体" w:cs="宋体"/>
          <w:b w:val="0"/>
          <w:bCs/>
          <w:color w:val="auto"/>
          <w:highlight w:val="none"/>
        </w:rPr>
      </w:pPr>
    </w:p>
    <w:p w14:paraId="7F034CA6">
      <w:pPr>
        <w:autoSpaceDE w:val="0"/>
        <w:autoSpaceDN w:val="0"/>
        <w:adjustRightInd w:val="0"/>
        <w:spacing w:line="276" w:lineRule="auto"/>
        <w:ind w:right="-23"/>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 w:val="24"/>
          <w:highlight w:val="none"/>
        </w:rPr>
        <w:br w:type="page"/>
      </w:r>
      <w:bookmarkStart w:id="980" w:name="_Toc287620813"/>
      <w:bookmarkStart w:id="981" w:name="_Toc277082642"/>
      <w:bookmarkStart w:id="982" w:name="_Toc224103494"/>
      <w:bookmarkStart w:id="983" w:name="_Toc430530529"/>
      <w:bookmarkStart w:id="984" w:name="_Toc287607866"/>
    </w:p>
    <w:p w14:paraId="7F034CA7">
      <w:pPr>
        <w:pStyle w:val="4"/>
        <w:spacing w:line="360" w:lineRule="auto"/>
        <w:jc w:val="center"/>
        <w:rPr>
          <w:rFonts w:hint="eastAsia" w:ascii="宋体" w:hAnsi="宋体" w:cs="宋体"/>
          <w:b w:val="0"/>
          <w:bCs/>
          <w:color w:val="auto"/>
          <w:sz w:val="44"/>
          <w:szCs w:val="44"/>
          <w:highlight w:val="none"/>
        </w:rPr>
      </w:pPr>
      <w:bookmarkStart w:id="985" w:name="_Toc28613"/>
      <w:r>
        <w:rPr>
          <w:rFonts w:hint="eastAsia" w:ascii="宋体" w:hAnsi="宋体" w:cs="宋体"/>
          <w:b w:val="0"/>
          <w:bCs/>
          <w:color w:val="auto"/>
          <w:sz w:val="44"/>
          <w:szCs w:val="44"/>
          <w:highlight w:val="none"/>
        </w:rPr>
        <w:t>一、投标函部分</w:t>
      </w:r>
      <w:bookmarkEnd w:id="980"/>
      <w:bookmarkEnd w:id="981"/>
      <w:bookmarkEnd w:id="982"/>
      <w:bookmarkEnd w:id="983"/>
      <w:bookmarkEnd w:id="984"/>
      <w:bookmarkEnd w:id="985"/>
    </w:p>
    <w:p w14:paraId="7F034CA8">
      <w:pPr>
        <w:tabs>
          <w:tab w:val="left" w:pos="2580"/>
          <w:tab w:val="left" w:pos="5940"/>
        </w:tabs>
        <w:autoSpaceDE w:val="0"/>
        <w:autoSpaceDN w:val="0"/>
        <w:adjustRightInd w:val="0"/>
        <w:snapToGrid w:val="0"/>
        <w:spacing w:line="360" w:lineRule="auto"/>
        <w:jc w:val="left"/>
        <w:rPr>
          <w:rFonts w:hint="eastAsia" w:ascii="宋体" w:hAnsi="宋体" w:cs="宋体"/>
          <w:b w:val="0"/>
          <w:bCs/>
          <w:color w:val="auto"/>
          <w:kern w:val="0"/>
          <w:sz w:val="28"/>
          <w:szCs w:val="28"/>
          <w:highlight w:val="none"/>
        </w:rPr>
      </w:pPr>
      <w:r>
        <w:rPr>
          <w:rFonts w:hint="eastAsia" w:ascii="宋体" w:hAnsi="宋体" w:cs="宋体"/>
          <w:b w:val="0"/>
          <w:bCs/>
          <w:color w:val="auto"/>
          <w:kern w:val="0"/>
          <w:sz w:val="28"/>
          <w:szCs w:val="28"/>
          <w:highlight w:val="none"/>
        </w:rPr>
        <w:br w:type="page"/>
      </w:r>
    </w:p>
    <w:p w14:paraId="7F034CA9">
      <w:pPr>
        <w:spacing w:line="360" w:lineRule="auto"/>
        <w:jc w:val="center"/>
        <w:rPr>
          <w:rFonts w:hint="eastAsia" w:ascii="宋体" w:hAnsi="宋体" w:cs="宋体"/>
          <w:b w:val="0"/>
          <w:bCs/>
          <w:color w:val="auto"/>
          <w:kern w:val="0"/>
          <w:sz w:val="32"/>
          <w:szCs w:val="32"/>
          <w:highlight w:val="none"/>
        </w:rPr>
      </w:pPr>
      <w:r>
        <w:rPr>
          <w:rFonts w:hint="eastAsia" w:ascii="宋体" w:hAnsi="宋体" w:cs="宋体"/>
          <w:b w:val="0"/>
          <w:bCs/>
          <w:color w:val="auto"/>
          <w:kern w:val="0"/>
          <w:sz w:val="32"/>
          <w:szCs w:val="32"/>
          <w:highlight w:val="none"/>
          <w:u w:val="single"/>
        </w:rPr>
        <w:t xml:space="preserve">                   （项目名称）</w:t>
      </w:r>
    </w:p>
    <w:p w14:paraId="7F034CAA">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CAB">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CAC">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CAD">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CAE">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CAF">
      <w:pPr>
        <w:tabs>
          <w:tab w:val="left" w:pos="3600"/>
          <w:tab w:val="left" w:pos="4480"/>
          <w:tab w:val="left" w:pos="5360"/>
        </w:tabs>
        <w:autoSpaceDE w:val="0"/>
        <w:autoSpaceDN w:val="0"/>
        <w:adjustRightInd w:val="0"/>
        <w:snapToGrid w:val="0"/>
        <w:spacing w:line="360" w:lineRule="auto"/>
        <w:jc w:val="center"/>
        <w:rPr>
          <w:rFonts w:hint="eastAsia" w:ascii="宋体" w:hAnsi="宋体" w:cs="宋体"/>
          <w:b w:val="0"/>
          <w:bCs/>
          <w:color w:val="auto"/>
          <w:kern w:val="0"/>
          <w:sz w:val="72"/>
          <w:szCs w:val="72"/>
          <w:highlight w:val="none"/>
        </w:rPr>
      </w:pPr>
      <w:r>
        <w:rPr>
          <w:rFonts w:hint="eastAsia" w:ascii="宋体" w:hAnsi="宋体" w:cs="宋体"/>
          <w:b w:val="0"/>
          <w:bCs/>
          <w:color w:val="auto"/>
          <w:kern w:val="0"/>
          <w:sz w:val="72"/>
          <w:szCs w:val="72"/>
          <w:highlight w:val="none"/>
        </w:rPr>
        <w:t>投 标 文 件</w:t>
      </w:r>
    </w:p>
    <w:p w14:paraId="7F034CB0">
      <w:pPr>
        <w:autoSpaceDE w:val="0"/>
        <w:autoSpaceDN w:val="0"/>
        <w:adjustRightInd w:val="0"/>
        <w:snapToGrid w:val="0"/>
        <w:spacing w:line="360" w:lineRule="auto"/>
        <w:jc w:val="left"/>
        <w:rPr>
          <w:rFonts w:hint="eastAsia" w:ascii="宋体" w:hAnsi="宋体" w:cs="宋体"/>
          <w:b w:val="0"/>
          <w:bCs/>
          <w:color w:val="auto"/>
          <w:kern w:val="0"/>
          <w:sz w:val="16"/>
          <w:szCs w:val="16"/>
          <w:highlight w:val="none"/>
        </w:rPr>
      </w:pPr>
    </w:p>
    <w:p w14:paraId="7F034CB1">
      <w:pPr>
        <w:autoSpaceDE w:val="0"/>
        <w:autoSpaceDN w:val="0"/>
        <w:adjustRightInd w:val="0"/>
        <w:snapToGrid w:val="0"/>
        <w:spacing w:line="360" w:lineRule="auto"/>
        <w:jc w:val="center"/>
        <w:rPr>
          <w:rFonts w:hint="eastAsia" w:ascii="宋体" w:hAnsi="宋体" w:cs="宋体"/>
          <w:b w:val="0"/>
          <w:bCs/>
          <w:color w:val="auto"/>
          <w:kern w:val="0"/>
          <w:sz w:val="36"/>
          <w:szCs w:val="36"/>
          <w:highlight w:val="none"/>
        </w:rPr>
      </w:pPr>
      <w:r>
        <w:rPr>
          <w:rFonts w:hint="eastAsia" w:ascii="宋体" w:hAnsi="宋体" w:cs="宋体"/>
          <w:b w:val="0"/>
          <w:bCs/>
          <w:color w:val="auto"/>
          <w:kern w:val="0"/>
          <w:sz w:val="36"/>
          <w:szCs w:val="36"/>
          <w:highlight w:val="none"/>
        </w:rPr>
        <w:t>投标函部分</w:t>
      </w:r>
    </w:p>
    <w:p w14:paraId="7F034CB2">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3">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4">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5">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6">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7">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8">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9">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A">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B">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C">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CBD">
      <w:pPr>
        <w:tabs>
          <w:tab w:val="left" w:pos="6080"/>
          <w:tab w:val="left" w:pos="6640"/>
        </w:tabs>
        <w:autoSpaceDE w:val="0"/>
        <w:autoSpaceDN w:val="0"/>
        <w:adjustRightInd w:val="0"/>
        <w:snapToGrid w:val="0"/>
        <w:spacing w:after="156" w:afterLines="50" w:line="36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w w:val="99"/>
          <w:kern w:val="0"/>
          <w:sz w:val="28"/>
          <w:szCs w:val="28"/>
          <w:highlight w:val="none"/>
        </w:rPr>
        <w:t>投标人</w:t>
      </w:r>
      <w:r>
        <w:rPr>
          <w:rFonts w:hint="eastAsia" w:ascii="宋体" w:hAnsi="宋体" w:cs="宋体"/>
          <w:b w:val="0"/>
          <w:bCs/>
          <w:color w:val="auto"/>
          <w:spacing w:val="1"/>
          <w:w w:val="99"/>
          <w:kern w:val="0"/>
          <w:sz w:val="28"/>
          <w:szCs w:val="28"/>
          <w:highlight w:val="none"/>
        </w:rPr>
        <w:t>：</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（盖单位法人章）</w:t>
      </w:r>
    </w:p>
    <w:p w14:paraId="7F034CBE">
      <w:pPr>
        <w:tabs>
          <w:tab w:val="left" w:pos="6080"/>
          <w:tab w:val="left" w:pos="6640"/>
        </w:tabs>
        <w:autoSpaceDE w:val="0"/>
        <w:autoSpaceDN w:val="0"/>
        <w:adjustRightInd w:val="0"/>
        <w:snapToGrid w:val="0"/>
        <w:spacing w:after="156" w:afterLines="50"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w w:val="99"/>
          <w:kern w:val="0"/>
          <w:sz w:val="28"/>
          <w:szCs w:val="28"/>
          <w:highlight w:val="none"/>
        </w:rPr>
        <w:t>法定代表人或其委托代理人：</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（签名或盖章）</w:t>
      </w:r>
    </w:p>
    <w:p w14:paraId="7F034CBF">
      <w:pPr>
        <w:autoSpaceDE w:val="0"/>
        <w:autoSpaceDN w:val="0"/>
        <w:adjustRightInd w:val="0"/>
        <w:snapToGrid w:val="0"/>
        <w:spacing w:line="360" w:lineRule="auto"/>
        <w:jc w:val="center"/>
        <w:rPr>
          <w:rFonts w:hint="eastAsia" w:ascii="宋体" w:hAnsi="宋体" w:cs="宋体"/>
          <w:b w:val="0"/>
          <w:bCs/>
          <w:color w:val="auto"/>
          <w:kern w:val="0"/>
          <w:sz w:val="24"/>
          <w:szCs w:val="21"/>
          <w:highlight w:val="none"/>
        </w:rPr>
      </w:pPr>
      <w:r>
        <w:rPr>
          <w:rFonts w:hint="eastAsia" w:ascii="宋体" w:hAnsi="宋体" w:cs="宋体"/>
          <w:b w:val="0"/>
          <w:bCs/>
          <w:color w:val="auto"/>
          <w:w w:val="99"/>
          <w:kern w:val="0"/>
          <w:sz w:val="28"/>
          <w:szCs w:val="28"/>
          <w:highlight w:val="none"/>
          <w:u w:val="single"/>
        </w:rPr>
        <w:t xml:space="preserve">    </w:t>
      </w:r>
      <w:r>
        <w:rPr>
          <w:rFonts w:hint="eastAsia" w:ascii="宋体" w:hAnsi="宋体" w:cs="宋体"/>
          <w:b w:val="0"/>
          <w:bCs/>
          <w:color w:val="auto"/>
          <w:w w:val="99"/>
          <w:kern w:val="0"/>
          <w:sz w:val="28"/>
          <w:szCs w:val="28"/>
          <w:highlight w:val="none"/>
        </w:rPr>
        <w:t>年</w:t>
      </w:r>
      <w:r>
        <w:rPr>
          <w:rFonts w:hint="eastAsia" w:ascii="宋体" w:hAnsi="宋体" w:cs="宋体"/>
          <w:b w:val="0"/>
          <w:bCs/>
          <w:color w:val="auto"/>
          <w:w w:val="99"/>
          <w:kern w:val="0"/>
          <w:sz w:val="28"/>
          <w:szCs w:val="28"/>
          <w:highlight w:val="none"/>
          <w:u w:val="single"/>
        </w:rPr>
        <w:t xml:space="preserve">    </w:t>
      </w:r>
      <w:r>
        <w:rPr>
          <w:rFonts w:hint="eastAsia" w:ascii="宋体" w:hAnsi="宋体" w:cs="宋体"/>
          <w:b w:val="0"/>
          <w:bCs/>
          <w:color w:val="auto"/>
          <w:w w:val="99"/>
          <w:kern w:val="0"/>
          <w:sz w:val="28"/>
          <w:szCs w:val="28"/>
          <w:highlight w:val="none"/>
        </w:rPr>
        <w:t>月</w:t>
      </w:r>
      <w:r>
        <w:rPr>
          <w:rFonts w:hint="eastAsia" w:ascii="宋体" w:hAnsi="宋体" w:cs="宋体"/>
          <w:b w:val="0"/>
          <w:bCs/>
          <w:color w:val="auto"/>
          <w:w w:val="99"/>
          <w:kern w:val="0"/>
          <w:sz w:val="28"/>
          <w:szCs w:val="28"/>
          <w:highlight w:val="none"/>
          <w:u w:val="single"/>
        </w:rPr>
        <w:t xml:space="preserve">    </w:t>
      </w:r>
      <w:r>
        <w:rPr>
          <w:rFonts w:hint="eastAsia" w:ascii="宋体" w:hAnsi="宋体" w:cs="宋体"/>
          <w:b w:val="0"/>
          <w:bCs/>
          <w:color w:val="auto"/>
          <w:w w:val="99"/>
          <w:kern w:val="0"/>
          <w:sz w:val="28"/>
          <w:szCs w:val="28"/>
          <w:highlight w:val="none"/>
        </w:rPr>
        <w:t>日</w:t>
      </w:r>
      <w:r>
        <w:rPr>
          <w:rFonts w:hint="eastAsia" w:ascii="宋体" w:hAnsi="宋体" w:cs="宋体"/>
          <w:b w:val="0"/>
          <w:bCs/>
          <w:color w:val="auto"/>
          <w:kern w:val="0"/>
          <w:sz w:val="24"/>
          <w:szCs w:val="21"/>
          <w:highlight w:val="none"/>
        </w:rPr>
        <w:br w:type="page"/>
      </w:r>
    </w:p>
    <w:p w14:paraId="7F034CC0">
      <w:pPr>
        <w:autoSpaceDE w:val="0"/>
        <w:autoSpaceDN w:val="0"/>
        <w:adjustRightInd w:val="0"/>
        <w:snapToGrid w:val="0"/>
        <w:spacing w:line="360" w:lineRule="auto"/>
        <w:jc w:val="center"/>
        <w:rPr>
          <w:rFonts w:hint="eastAsia" w:ascii="宋体" w:hAnsi="宋体" w:cs="宋体"/>
          <w:b w:val="0"/>
          <w:bCs/>
          <w:color w:val="auto"/>
          <w:kern w:val="0"/>
          <w:sz w:val="36"/>
          <w:szCs w:val="36"/>
          <w:highlight w:val="none"/>
        </w:rPr>
      </w:pPr>
      <w:r>
        <w:rPr>
          <w:rFonts w:hint="eastAsia" w:ascii="宋体" w:hAnsi="宋体" w:cs="宋体"/>
          <w:b w:val="0"/>
          <w:bCs/>
          <w:color w:val="auto"/>
          <w:kern w:val="0"/>
          <w:sz w:val="36"/>
          <w:szCs w:val="36"/>
          <w:highlight w:val="none"/>
        </w:rPr>
        <w:t>目  录</w:t>
      </w:r>
    </w:p>
    <w:p w14:paraId="7F034CC1">
      <w:pPr>
        <w:autoSpaceDE w:val="0"/>
        <w:autoSpaceDN w:val="0"/>
        <w:adjustRightInd w:val="0"/>
        <w:snapToGrid w:val="0"/>
        <w:spacing w:line="360" w:lineRule="auto"/>
        <w:jc w:val="left"/>
        <w:rPr>
          <w:rFonts w:hint="eastAsia" w:ascii="宋体" w:hAnsi="宋体" w:cs="宋体"/>
          <w:b w:val="0"/>
          <w:bCs/>
          <w:color w:val="auto"/>
          <w:kern w:val="0"/>
          <w:sz w:val="24"/>
          <w:szCs w:val="21"/>
          <w:highlight w:val="none"/>
        </w:rPr>
      </w:pPr>
    </w:p>
    <w:p w14:paraId="7F034CC2">
      <w:pPr>
        <w:autoSpaceDE w:val="0"/>
        <w:autoSpaceDN w:val="0"/>
        <w:adjustRightInd w:val="0"/>
        <w:spacing w:line="360" w:lineRule="auto"/>
        <w:ind w:firstLine="480" w:firstLineChars="200"/>
        <w:jc w:val="left"/>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（一）投标函</w:t>
      </w:r>
    </w:p>
    <w:p w14:paraId="7F034CC3">
      <w:pPr>
        <w:autoSpaceDE w:val="0"/>
        <w:autoSpaceDN w:val="0"/>
        <w:adjustRightInd w:val="0"/>
        <w:spacing w:line="360" w:lineRule="auto"/>
        <w:ind w:firstLine="480" w:firstLineChars="200"/>
        <w:jc w:val="left"/>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（二）分项报价表（如有）</w:t>
      </w:r>
    </w:p>
    <w:p w14:paraId="7F034CC4">
      <w:pPr>
        <w:autoSpaceDE w:val="0"/>
        <w:autoSpaceDN w:val="0"/>
        <w:adjustRightInd w:val="0"/>
        <w:spacing w:line="360" w:lineRule="auto"/>
        <w:ind w:firstLine="480" w:firstLineChars="200"/>
        <w:jc w:val="left"/>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（三）投标报价合理性说明（如有）</w:t>
      </w:r>
    </w:p>
    <w:p w14:paraId="7F034CC5">
      <w:pPr>
        <w:autoSpaceDE w:val="0"/>
        <w:autoSpaceDN w:val="0"/>
        <w:adjustRightInd w:val="0"/>
        <w:spacing w:line="360" w:lineRule="auto"/>
        <w:ind w:firstLine="480" w:firstLineChars="200"/>
        <w:jc w:val="left"/>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t>（四）法定代表人身份证明或授权委托书</w:t>
      </w:r>
    </w:p>
    <w:p w14:paraId="7F034CC6">
      <w:pPr>
        <w:pStyle w:val="5"/>
        <w:spacing w:before="0" w:after="0" w:line="240" w:lineRule="auto"/>
        <w:jc w:val="center"/>
        <w:rPr>
          <w:rFonts w:hint="eastAsia" w:ascii="宋体" w:hAnsi="宋体" w:cs="宋体"/>
          <w:b w:val="0"/>
          <w:bCs/>
          <w:color w:val="auto"/>
          <w:highlight w:val="none"/>
        </w:rPr>
      </w:pPr>
      <w:bookmarkStart w:id="986" w:name="_Toc287620814"/>
      <w:bookmarkStart w:id="987" w:name="_Toc224103495"/>
      <w:bookmarkStart w:id="988" w:name="_Toc509218854"/>
      <w:bookmarkStart w:id="989" w:name="_Toc430530530"/>
      <w:bookmarkStart w:id="990" w:name="_Toc534185831"/>
      <w:bookmarkStart w:id="991" w:name="_Toc277082643"/>
      <w:bookmarkStart w:id="992" w:name="_Toc287607867"/>
      <w:r>
        <w:rPr>
          <w:rFonts w:hint="eastAsia" w:ascii="宋体" w:hAnsi="宋体" w:cs="宋体"/>
          <w:b w:val="0"/>
          <w:bCs/>
          <w:color w:val="auto"/>
          <w:highlight w:val="none"/>
        </w:rPr>
        <w:br w:type="page"/>
      </w:r>
      <w:bookmarkStart w:id="993" w:name="_Toc27686"/>
      <w:r>
        <w:rPr>
          <w:rFonts w:hint="eastAsia" w:ascii="宋体" w:hAnsi="宋体" w:cs="宋体"/>
          <w:b w:val="0"/>
          <w:bCs/>
          <w:color w:val="auto"/>
          <w:highlight w:val="none"/>
        </w:rPr>
        <w:t>（一）投标函</w:t>
      </w:r>
      <w:bookmarkEnd w:id="986"/>
      <w:bookmarkEnd w:id="987"/>
      <w:bookmarkEnd w:id="988"/>
      <w:bookmarkEnd w:id="989"/>
      <w:bookmarkEnd w:id="990"/>
      <w:bookmarkEnd w:id="991"/>
      <w:bookmarkEnd w:id="992"/>
      <w:bookmarkEnd w:id="993"/>
    </w:p>
    <w:p w14:paraId="7F034CC7">
      <w:pPr>
        <w:tabs>
          <w:tab w:val="left" w:pos="2640"/>
        </w:tabs>
        <w:autoSpaceDE w:val="0"/>
        <w:autoSpaceDN w:val="0"/>
        <w:adjustRightInd w:val="0"/>
        <w:spacing w:line="400" w:lineRule="exac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（招标人名称）</w:t>
      </w:r>
      <w:r>
        <w:rPr>
          <w:rFonts w:hint="eastAsia" w:ascii="宋体" w:hAnsi="宋体" w:cs="宋体"/>
          <w:b w:val="0"/>
          <w:bCs/>
          <w:snapToGrid w:val="0"/>
          <w:color w:val="auto"/>
          <w:kern w:val="0"/>
          <w:szCs w:val="21"/>
          <w:highlight w:val="none"/>
        </w:rPr>
        <w:t>：</w:t>
      </w:r>
    </w:p>
    <w:p w14:paraId="7F034CC8">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 我方已仔细研究了</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u w:val="single"/>
        </w:rPr>
        <w:tab/>
      </w:r>
      <w:r>
        <w:rPr>
          <w:rFonts w:hint="eastAsia" w:ascii="宋体" w:hAnsi="宋体" w:cs="宋体"/>
          <w:b w:val="0"/>
          <w:bCs/>
          <w:snapToGrid w:val="0"/>
          <w:color w:val="auto"/>
          <w:kern w:val="0"/>
          <w:szCs w:val="21"/>
          <w:highlight w:val="none"/>
        </w:rPr>
        <w:t>（项目名称）招标文件的全部内容，对投标文件中响应招标文件商务、技术评审要求的投标货物，愿意以下列方式进行报价：</w:t>
      </w:r>
    </w:p>
    <w:p w14:paraId="7F034CC9">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投标总报价为人民币（大写）</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r>
        <w:rPr>
          <w:rFonts w:hint="eastAsia" w:ascii="宋体" w:hAnsi="宋体" w:cs="宋体"/>
          <w:b w:val="0"/>
          <w:bCs/>
          <w:color w:val="auto"/>
          <w:highlight w:val="none"/>
        </w:rPr>
        <w:t>增值税</w:t>
      </w:r>
      <w:r>
        <w:rPr>
          <w:rFonts w:hint="eastAsia" w:ascii="宋体" w:hAnsi="宋体" w:cs="宋体"/>
          <w:b w:val="0"/>
          <w:bCs/>
          <w:color w:val="auto"/>
          <w:spacing w:val="-3"/>
          <w:highlight w:val="none"/>
        </w:rPr>
        <w:t>税</w:t>
      </w:r>
      <w:r>
        <w:rPr>
          <w:rFonts w:hint="eastAsia" w:ascii="宋体" w:hAnsi="宋体" w:cs="宋体"/>
          <w:b w:val="0"/>
          <w:bCs/>
          <w:color w:val="auto"/>
          <w:highlight w:val="none"/>
        </w:rPr>
        <w:t>率</w:t>
      </w:r>
      <w:r>
        <w:rPr>
          <w:rFonts w:hint="eastAsia" w:ascii="宋体" w:hAnsi="宋体" w:cs="宋体"/>
          <w:b w:val="0"/>
          <w:bCs/>
          <w:color w:val="auto"/>
          <w:spacing w:val="-1"/>
          <w:highlight w:val="none"/>
        </w:rPr>
        <w:t>为</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r>
        <w:rPr>
          <w:rFonts w:ascii="宋体" w:hAnsi="宋体" w:cs="宋体"/>
          <w:b w:val="0"/>
          <w:bCs/>
          <w:color w:val="auto"/>
          <w:spacing w:val="-36"/>
          <w:sz w:val="28"/>
          <w:highlight w:val="none"/>
          <w:u w:val="single"/>
        </w:rPr>
        <w:t xml:space="preserve">   </w:t>
      </w:r>
      <w:r>
        <w:rPr>
          <w:rFonts w:hint="eastAsia" w:ascii="宋体" w:hAnsi="宋体" w:cs="宋体"/>
          <w:b w:val="0"/>
          <w:bCs/>
          <w:color w:val="auto"/>
          <w:szCs w:val="21"/>
          <w:highlight w:val="none"/>
        </w:rPr>
        <w:t>。</w:t>
      </w:r>
    </w:p>
    <w:p w14:paraId="7F034CCA">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交货期</w:t>
      </w:r>
      <w:r>
        <w:rPr>
          <w:rFonts w:hint="eastAsia" w:ascii="宋体" w:hAnsi="宋体" w:cs="宋体"/>
          <w:b w:val="0"/>
          <w:bCs/>
          <w:snapToGrid w:val="0"/>
          <w:color w:val="auto"/>
          <w:kern w:val="0"/>
          <w:szCs w:val="21"/>
          <w:highlight w:val="none"/>
          <w:u w:val="single"/>
        </w:rPr>
        <w:t>符合招标文件的要求</w:t>
      </w:r>
      <w:r>
        <w:rPr>
          <w:rFonts w:hint="eastAsia" w:ascii="宋体" w:hAnsi="宋体" w:cs="宋体"/>
          <w:b w:val="0"/>
          <w:bCs/>
          <w:snapToGrid w:val="0"/>
          <w:color w:val="auto"/>
          <w:kern w:val="0"/>
          <w:szCs w:val="21"/>
          <w:highlight w:val="none"/>
        </w:rPr>
        <w:t>，交货地点</w:t>
      </w:r>
      <w:r>
        <w:rPr>
          <w:rFonts w:hint="eastAsia" w:ascii="宋体" w:hAnsi="宋体" w:cs="宋体"/>
          <w:b w:val="0"/>
          <w:bCs/>
          <w:snapToGrid w:val="0"/>
          <w:color w:val="auto"/>
          <w:kern w:val="0"/>
          <w:szCs w:val="21"/>
          <w:highlight w:val="none"/>
          <w:u w:val="single"/>
        </w:rPr>
        <w:t>符合招标文件的要求</w:t>
      </w:r>
      <w:r>
        <w:rPr>
          <w:rFonts w:hint="eastAsia" w:ascii="宋体" w:hAnsi="宋体" w:cs="宋体"/>
          <w:b w:val="0"/>
          <w:bCs/>
          <w:snapToGrid w:val="0"/>
          <w:color w:val="auto"/>
          <w:kern w:val="0"/>
          <w:szCs w:val="21"/>
          <w:highlight w:val="none"/>
        </w:rPr>
        <w:t>，按合同约定履行义务。</w:t>
      </w:r>
    </w:p>
    <w:p w14:paraId="7F034CCB">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2. </w:t>
      </w:r>
      <w:r>
        <w:rPr>
          <w:rFonts w:hint="eastAsia" w:ascii="宋体" w:hAnsi="宋体" w:cs="宋体"/>
          <w:b w:val="0"/>
          <w:bCs/>
          <w:color w:val="auto"/>
          <w:highlight w:val="none"/>
        </w:rPr>
        <w:t>我方承诺除</w:t>
      </w:r>
      <w:r>
        <w:rPr>
          <w:rFonts w:hint="eastAsia" w:ascii="宋体" w:hAnsi="宋体" w:cs="宋体"/>
          <w:b w:val="0"/>
          <w:bCs/>
          <w:color w:val="auto"/>
          <w:sz w:val="22"/>
          <w:highlight w:val="none"/>
        </w:rPr>
        <w:t>商务和技术</w:t>
      </w:r>
      <w:r>
        <w:rPr>
          <w:rFonts w:hint="eastAsia" w:ascii="宋体" w:hAnsi="宋体" w:cs="宋体"/>
          <w:b w:val="0"/>
          <w:bCs/>
          <w:color w:val="auto"/>
          <w:highlight w:val="none"/>
        </w:rPr>
        <w:t>偏差表列出的偏差外，我方响应招标文件的全部要求。</w:t>
      </w:r>
    </w:p>
    <w:p w14:paraId="7F034CCC">
      <w:pPr>
        <w:autoSpaceDE w:val="0"/>
        <w:autoSpaceDN w:val="0"/>
        <w:adjustRightInd w:val="0"/>
        <w:spacing w:line="400" w:lineRule="exact"/>
        <w:ind w:firstLine="420" w:firstLineChars="200"/>
        <w:rPr>
          <w:rFonts w:hint="eastAsia" w:ascii="宋体" w:hAnsi="宋体" w:cs="宋体"/>
          <w:b w:val="0"/>
          <w:bCs/>
          <w:snapToGrid w:val="0"/>
          <w:color w:val="auto"/>
          <w:kern w:val="0"/>
          <w:sz w:val="10"/>
          <w:szCs w:val="10"/>
          <w:highlight w:val="none"/>
        </w:rPr>
      </w:pPr>
      <w:r>
        <w:rPr>
          <w:rFonts w:hint="eastAsia" w:ascii="宋体" w:hAnsi="宋体" w:cs="宋体"/>
          <w:b w:val="0"/>
          <w:bCs/>
          <w:snapToGrid w:val="0"/>
          <w:color w:val="auto"/>
          <w:kern w:val="0"/>
          <w:szCs w:val="21"/>
          <w:highlight w:val="none"/>
        </w:rPr>
        <w:t>3. 我方承诺响应招标文件规定的投标有效期，在投标有效期内不修改、撤销投标文件。</w:t>
      </w:r>
    </w:p>
    <w:p w14:paraId="7F034CCD">
      <w:pPr>
        <w:tabs>
          <w:tab w:val="left" w:pos="2730"/>
          <w:tab w:val="left" w:pos="7980"/>
        </w:tabs>
        <w:autoSpaceDE w:val="0"/>
        <w:autoSpaceDN w:val="0"/>
        <w:adjustRightInd w:val="0"/>
        <w:spacing w:line="400" w:lineRule="exact"/>
        <w:ind w:firstLine="420" w:firstLineChars="200"/>
        <w:rPr>
          <w:rFonts w:hint="eastAsia" w:ascii="宋体" w:hAnsi="宋体" w:cs="宋体"/>
          <w:b w:val="0"/>
          <w:bCs/>
          <w:snapToGrid w:val="0"/>
          <w:color w:val="auto"/>
          <w:kern w:val="0"/>
          <w:sz w:val="10"/>
          <w:szCs w:val="10"/>
          <w:highlight w:val="none"/>
        </w:rPr>
      </w:pPr>
      <w:r>
        <w:rPr>
          <w:rFonts w:hint="eastAsia" w:ascii="宋体" w:hAnsi="宋体" w:cs="宋体"/>
          <w:b w:val="0"/>
          <w:bCs/>
          <w:snapToGrid w:val="0"/>
          <w:color w:val="auto"/>
          <w:kern w:val="0"/>
          <w:szCs w:val="21"/>
          <w:highlight w:val="none"/>
        </w:rPr>
        <w:t>4. 随同本投标函提交投标保证金一份，金额为人民币（大写）</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）。投标保证金有效期与投标有效期一致，在此期间，若我方违反招投标有关法律、法规及本招标文件的相关规定，投标保证金的受益人为招标人。</w:t>
      </w:r>
    </w:p>
    <w:p w14:paraId="7F034CCE">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5. 如我方中标，我方承诺：</w:t>
      </w:r>
    </w:p>
    <w:p w14:paraId="7F034CCF">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（1）在收到中标通知书后，在中标通知书规定的期限内与你方签订合同；</w:t>
      </w:r>
    </w:p>
    <w:p w14:paraId="7F034CD0">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（2）在签订合同时不向你方提出附加条件；</w:t>
      </w:r>
    </w:p>
    <w:p w14:paraId="7F034CD1">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（3）按照招标文件要求提交履约保证金；</w:t>
      </w:r>
    </w:p>
    <w:p w14:paraId="7F034CD2">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（4）在合同约定的期限内完成合同规定的全部义务。</w:t>
      </w:r>
    </w:p>
    <w:p w14:paraId="7F034CD3">
      <w:pPr>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6. 我方</w:t>
      </w:r>
      <w:r>
        <w:rPr>
          <w:rFonts w:hint="eastAsia" w:ascii="宋体" w:hAnsi="宋体" w:cs="宋体"/>
          <w:b w:val="0"/>
          <w:bCs/>
          <w:snapToGrid w:val="0"/>
          <w:color w:val="auto"/>
          <w:spacing w:val="-2"/>
          <w:kern w:val="0"/>
          <w:szCs w:val="21"/>
          <w:highlight w:val="none"/>
        </w:rPr>
        <w:t>在此声明，所递交的投标文件及有关资料内容完整、真实和准确，</w:t>
      </w:r>
      <w:r>
        <w:rPr>
          <w:rFonts w:hint="eastAsia" w:ascii="宋体" w:hAnsi="宋体" w:cs="宋体"/>
          <w:b w:val="0"/>
          <w:bCs/>
          <w:snapToGrid w:val="0"/>
          <w:color w:val="auto"/>
          <w:kern w:val="0"/>
          <w:szCs w:val="21"/>
          <w:highlight w:val="none"/>
        </w:rPr>
        <w:t>同时我方承诺接受招标文件及附件、澄清及修改通知中所有的内容。</w:t>
      </w:r>
    </w:p>
    <w:p w14:paraId="7F034CD4">
      <w:pPr>
        <w:tabs>
          <w:tab w:val="left" w:pos="5985"/>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 xml:space="preserve">7. </w:t>
      </w:r>
      <w:r>
        <w:rPr>
          <w:rFonts w:hint="eastAsia" w:ascii="宋体" w:hAnsi="宋体" w:cs="宋体"/>
          <w:b w:val="0"/>
          <w:bCs/>
          <w:snapToGrid w:val="0"/>
          <w:color w:val="auto"/>
          <w:w w:val="200"/>
          <w:kern w:val="0"/>
          <w:szCs w:val="21"/>
          <w:highlight w:val="none"/>
          <w:u w:val="single"/>
        </w:rPr>
        <w:t xml:space="preserve"> </w:t>
      </w:r>
      <w:r>
        <w:rPr>
          <w:rFonts w:hint="eastAsia" w:ascii="宋体" w:hAnsi="宋体" w:cs="宋体"/>
          <w:b w:val="0"/>
          <w:bCs/>
          <w:snapToGrid w:val="0"/>
          <w:color w:val="auto"/>
          <w:kern w:val="0"/>
          <w:szCs w:val="21"/>
          <w:highlight w:val="none"/>
          <w:u w:val="single"/>
        </w:rPr>
        <w:t xml:space="preserve">    （其他补充说明）      </w:t>
      </w:r>
      <w:r>
        <w:rPr>
          <w:rFonts w:hint="eastAsia" w:ascii="宋体" w:hAnsi="宋体" w:cs="宋体"/>
          <w:b w:val="0"/>
          <w:bCs/>
          <w:snapToGrid w:val="0"/>
          <w:color w:val="auto"/>
          <w:kern w:val="0"/>
          <w:szCs w:val="21"/>
          <w:highlight w:val="none"/>
        </w:rPr>
        <w:t>。</w:t>
      </w:r>
    </w:p>
    <w:p w14:paraId="7F034CD5">
      <w:pPr>
        <w:pStyle w:val="2"/>
        <w:rPr>
          <w:rFonts w:ascii="宋体" w:hAnsi="宋体" w:cs="宋体"/>
          <w:b w:val="0"/>
          <w:bCs/>
          <w:color w:val="auto"/>
          <w:highlight w:val="none"/>
        </w:rPr>
      </w:pPr>
    </w:p>
    <w:p w14:paraId="7F034CD6">
      <w:pPr>
        <w:tabs>
          <w:tab w:val="left" w:pos="7140"/>
          <w:tab w:val="left" w:pos="7560"/>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CD7">
      <w:pPr>
        <w:tabs>
          <w:tab w:val="left" w:pos="7140"/>
          <w:tab w:val="left" w:pos="7560"/>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（签名或盖章）</w:t>
      </w:r>
    </w:p>
    <w:p w14:paraId="7F034CD8">
      <w:pPr>
        <w:tabs>
          <w:tab w:val="left" w:pos="7035"/>
          <w:tab w:val="left" w:pos="7560"/>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地    址：</w:t>
      </w:r>
      <w:r>
        <w:rPr>
          <w:rFonts w:hint="eastAsia" w:ascii="宋体" w:hAnsi="宋体" w:cs="宋体"/>
          <w:b w:val="0"/>
          <w:bCs/>
          <w:snapToGrid w:val="0"/>
          <w:color w:val="auto"/>
          <w:kern w:val="0"/>
          <w:szCs w:val="21"/>
          <w:highlight w:val="none"/>
          <w:u w:val="single"/>
        </w:rPr>
        <w:t xml:space="preserve">                                                                            </w:t>
      </w:r>
    </w:p>
    <w:p w14:paraId="7F034CD9">
      <w:pPr>
        <w:tabs>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网    址：</w:t>
      </w:r>
      <w:r>
        <w:rPr>
          <w:rFonts w:hint="eastAsia" w:ascii="宋体" w:hAnsi="宋体" w:cs="宋体"/>
          <w:b w:val="0"/>
          <w:bCs/>
          <w:snapToGrid w:val="0"/>
          <w:color w:val="auto"/>
          <w:kern w:val="0"/>
          <w:szCs w:val="21"/>
          <w:highlight w:val="none"/>
          <w:u w:val="single"/>
        </w:rPr>
        <w:t xml:space="preserve">                                                                            </w:t>
      </w:r>
    </w:p>
    <w:p w14:paraId="7F034CDA">
      <w:pPr>
        <w:tabs>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单位电话（座机）：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委托代理人电话（手机）：</w:t>
      </w:r>
      <w:r>
        <w:rPr>
          <w:rFonts w:hint="eastAsia" w:ascii="宋体" w:hAnsi="宋体" w:cs="宋体"/>
          <w:b w:val="0"/>
          <w:bCs/>
          <w:snapToGrid w:val="0"/>
          <w:color w:val="auto"/>
          <w:kern w:val="0"/>
          <w:szCs w:val="21"/>
          <w:highlight w:val="none"/>
          <w:u w:val="single"/>
        </w:rPr>
        <w:t xml:space="preserve">                      </w:t>
      </w:r>
    </w:p>
    <w:p w14:paraId="7F034CDB">
      <w:pPr>
        <w:tabs>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传    真：</w:t>
      </w:r>
      <w:r>
        <w:rPr>
          <w:rFonts w:hint="eastAsia" w:ascii="宋体" w:hAnsi="宋体" w:cs="宋体"/>
          <w:b w:val="0"/>
          <w:bCs/>
          <w:snapToGrid w:val="0"/>
          <w:color w:val="auto"/>
          <w:kern w:val="0"/>
          <w:szCs w:val="21"/>
          <w:highlight w:val="none"/>
          <w:u w:val="single"/>
        </w:rPr>
        <w:t xml:space="preserve">                                                                            </w:t>
      </w:r>
    </w:p>
    <w:p w14:paraId="7F034CDC">
      <w:pPr>
        <w:tabs>
          <w:tab w:val="left" w:pos="8300"/>
        </w:tabs>
        <w:autoSpaceDE w:val="0"/>
        <w:autoSpaceDN w:val="0"/>
        <w:adjustRightInd w:val="0"/>
        <w:spacing w:line="400" w:lineRule="exact"/>
        <w:ind w:firstLine="420" w:firstLineChars="200"/>
        <w:rPr>
          <w:rFonts w:hint="eastAsia" w:ascii="宋体" w:hAnsi="宋体" w:cs="宋体"/>
          <w:b w:val="0"/>
          <w:bCs/>
          <w:snapToGrid w:val="0"/>
          <w:color w:val="auto"/>
          <w:kern w:val="0"/>
          <w:sz w:val="20"/>
          <w:szCs w:val="20"/>
          <w:highlight w:val="none"/>
        </w:rPr>
      </w:pPr>
      <w:r>
        <w:rPr>
          <w:rFonts w:hint="eastAsia" w:ascii="宋体" w:hAnsi="宋体" w:cs="宋体"/>
          <w:b w:val="0"/>
          <w:bCs/>
          <w:snapToGrid w:val="0"/>
          <w:color w:val="auto"/>
          <w:kern w:val="0"/>
          <w:szCs w:val="21"/>
          <w:highlight w:val="none"/>
        </w:rPr>
        <w:t>邮政编码：</w:t>
      </w:r>
      <w:r>
        <w:rPr>
          <w:rFonts w:hint="eastAsia" w:ascii="宋体" w:hAnsi="宋体" w:cs="宋体"/>
          <w:b w:val="0"/>
          <w:bCs/>
          <w:snapToGrid w:val="0"/>
          <w:color w:val="auto"/>
          <w:kern w:val="0"/>
          <w:szCs w:val="21"/>
          <w:highlight w:val="none"/>
          <w:u w:val="single"/>
        </w:rPr>
        <w:t xml:space="preserve">                                                                            </w:t>
      </w:r>
    </w:p>
    <w:p w14:paraId="7F034CDD">
      <w:pPr>
        <w:tabs>
          <w:tab w:val="left" w:pos="8300"/>
        </w:tabs>
        <w:autoSpaceDE w:val="0"/>
        <w:autoSpaceDN w:val="0"/>
        <w:adjustRightInd w:val="0"/>
        <w:spacing w:line="400" w:lineRule="exact"/>
        <w:ind w:firstLine="420" w:firstLineChars="200"/>
        <w:jc w:val="righ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p>
    <w:p w14:paraId="7F034CDE">
      <w:pPr>
        <w:pStyle w:val="5"/>
        <w:spacing w:before="0" w:after="0" w:line="240" w:lineRule="auto"/>
        <w:jc w:val="center"/>
        <w:rPr>
          <w:rFonts w:hint="eastAsia" w:ascii="宋体" w:hAnsi="宋体" w:cs="宋体"/>
          <w:b w:val="0"/>
          <w:bCs/>
          <w:color w:val="auto"/>
          <w:szCs w:val="20"/>
          <w:highlight w:val="none"/>
        </w:rPr>
      </w:pPr>
      <w:bookmarkStart w:id="994" w:name="_Toc287607868"/>
      <w:bookmarkStart w:id="995" w:name="_Toc224103496"/>
      <w:bookmarkStart w:id="996" w:name="_Toc287620815"/>
      <w:bookmarkStart w:id="997" w:name="_Toc277082644"/>
      <w:bookmarkStart w:id="998" w:name="_Toc430530531"/>
      <w:r>
        <w:rPr>
          <w:rFonts w:hint="eastAsia" w:ascii="宋体" w:hAnsi="宋体" w:cs="宋体"/>
          <w:b w:val="0"/>
          <w:bCs/>
          <w:color w:val="auto"/>
          <w:sz w:val="28"/>
          <w:highlight w:val="none"/>
        </w:rPr>
        <w:br w:type="page"/>
      </w:r>
      <w:bookmarkStart w:id="999" w:name="_Toc509218855"/>
      <w:bookmarkStart w:id="1000" w:name="_Toc534185832"/>
      <w:bookmarkStart w:id="1001" w:name="_Toc1929"/>
      <w:r>
        <w:rPr>
          <w:rFonts w:hint="eastAsia" w:ascii="宋体" w:hAnsi="宋体" w:cs="宋体"/>
          <w:b w:val="0"/>
          <w:bCs/>
          <w:color w:val="auto"/>
          <w:highlight w:val="none"/>
        </w:rPr>
        <w:t>（二）</w:t>
      </w:r>
      <w:bookmarkEnd w:id="994"/>
      <w:bookmarkEnd w:id="995"/>
      <w:bookmarkEnd w:id="996"/>
      <w:bookmarkEnd w:id="997"/>
      <w:bookmarkEnd w:id="998"/>
      <w:bookmarkEnd w:id="999"/>
      <w:bookmarkEnd w:id="1000"/>
      <w:r>
        <w:rPr>
          <w:rFonts w:hint="eastAsia" w:ascii="宋体" w:hAnsi="宋体" w:cs="宋体"/>
          <w:b w:val="0"/>
          <w:bCs/>
          <w:color w:val="auto"/>
          <w:szCs w:val="20"/>
          <w:highlight w:val="none"/>
        </w:rPr>
        <w:t>分项报价表</w:t>
      </w:r>
      <w:bookmarkEnd w:id="1001"/>
    </w:p>
    <w:p w14:paraId="7F034CDF">
      <w:pPr>
        <w:rPr>
          <w:rFonts w:ascii="宋体" w:hAnsi="宋体" w:cs="宋体"/>
          <w:b w:val="0"/>
          <w:bCs/>
          <w:color w:val="auto"/>
          <w:highlight w:val="none"/>
        </w:rPr>
      </w:pPr>
    </w:p>
    <w:p w14:paraId="7F034CE0">
      <w:pPr>
        <w:pStyle w:val="332"/>
        <w:tabs>
          <w:tab w:val="left" w:pos="805"/>
        </w:tabs>
        <w:spacing w:before="43"/>
        <w:ind w:left="540" w:firstLine="0"/>
        <w:jc w:val="left"/>
        <w:rPr>
          <w:rFonts w:hint="eastAsia"/>
          <w:b w:val="0"/>
          <w:bCs/>
          <w:color w:val="auto"/>
          <w:szCs w:val="21"/>
          <w:highlight w:val="none"/>
        </w:rPr>
      </w:pPr>
      <w:r>
        <w:rPr>
          <w:rFonts w:hint="eastAsia"/>
          <w:b w:val="0"/>
          <w:bCs/>
          <w:color w:val="auto"/>
          <w:spacing w:val="-3"/>
          <w:szCs w:val="21"/>
          <w:highlight w:val="none"/>
        </w:rPr>
        <w:t>1. 分项报价表说明</w:t>
      </w:r>
    </w:p>
    <w:p w14:paraId="7F034CE1">
      <w:pPr>
        <w:pStyle w:val="332"/>
        <w:tabs>
          <w:tab w:val="left" w:pos="805"/>
        </w:tabs>
        <w:spacing w:before="151"/>
        <w:ind w:left="540" w:firstLine="0"/>
        <w:jc w:val="left"/>
        <w:rPr>
          <w:rFonts w:hint="eastAsia"/>
          <w:b w:val="0"/>
          <w:bCs/>
          <w:color w:val="auto"/>
          <w:szCs w:val="21"/>
          <w:highlight w:val="none"/>
        </w:rPr>
      </w:pPr>
      <w:r>
        <w:rPr>
          <w:rFonts w:hint="eastAsia"/>
          <w:b w:val="0"/>
          <w:bCs/>
          <w:color w:val="auto"/>
          <w:spacing w:val="-3"/>
          <w:szCs w:val="21"/>
          <w:highlight w:val="none"/>
        </w:rPr>
        <w:t>2. 投标货物分项报价表</w:t>
      </w:r>
    </w:p>
    <w:p w14:paraId="7F034CE2">
      <w:pPr>
        <w:pStyle w:val="2"/>
        <w:spacing w:before="7"/>
        <w:rPr>
          <w:rFonts w:hint="eastAsia" w:ascii="宋体" w:hAnsi="宋体" w:cs="宋体"/>
          <w:b w:val="0"/>
          <w:bCs/>
          <w:color w:val="auto"/>
          <w:szCs w:val="21"/>
          <w:highlight w:val="none"/>
        </w:rPr>
      </w:pPr>
    </w:p>
    <w:p w14:paraId="7F034CE3">
      <w:pPr>
        <w:pStyle w:val="2"/>
        <w:spacing w:before="37" w:after="57"/>
        <w:ind w:right="274"/>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                                                                          单位：人民币元</w:t>
      </w:r>
    </w:p>
    <w:tbl>
      <w:tblPr>
        <w:tblStyle w:val="46"/>
        <w:tblW w:w="9191"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
        <w:gridCol w:w="1677"/>
        <w:gridCol w:w="1282"/>
        <w:gridCol w:w="1977"/>
        <w:gridCol w:w="873"/>
        <w:gridCol w:w="886"/>
        <w:gridCol w:w="955"/>
        <w:gridCol w:w="935"/>
      </w:tblGrid>
      <w:tr w14:paraId="7F034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CE4">
            <w:pPr>
              <w:pStyle w:val="314"/>
              <w:spacing w:line="332" w:lineRule="exact"/>
              <w:ind w:left="115" w:right="108"/>
              <w:jc w:val="center"/>
              <w:rPr>
                <w:rFonts w:hint="eastAsia"/>
                <w:b w:val="0"/>
                <w:bCs/>
                <w:color w:val="auto"/>
                <w:szCs w:val="21"/>
                <w:highlight w:val="none"/>
              </w:rPr>
            </w:pPr>
            <w:r>
              <w:rPr>
                <w:rFonts w:hint="eastAsia"/>
                <w:b w:val="0"/>
                <w:bCs/>
                <w:color w:val="auto"/>
                <w:szCs w:val="21"/>
                <w:highlight w:val="none"/>
              </w:rPr>
              <w:t>序号</w:t>
            </w:r>
          </w:p>
        </w:tc>
        <w:tc>
          <w:tcPr>
            <w:tcW w:w="1677" w:type="dxa"/>
            <w:tcBorders>
              <w:right w:val="single" w:color="000000" w:sz="6" w:space="0"/>
            </w:tcBorders>
            <w:vAlign w:val="center"/>
          </w:tcPr>
          <w:p w14:paraId="7F034CE5">
            <w:pPr>
              <w:pStyle w:val="314"/>
              <w:spacing w:line="332" w:lineRule="exact"/>
              <w:jc w:val="center"/>
              <w:rPr>
                <w:rFonts w:hint="eastAsia"/>
                <w:b w:val="0"/>
                <w:bCs/>
                <w:color w:val="auto"/>
                <w:szCs w:val="21"/>
                <w:highlight w:val="none"/>
              </w:rPr>
            </w:pPr>
            <w:r>
              <w:rPr>
                <w:rFonts w:hint="eastAsia"/>
                <w:b w:val="0"/>
                <w:bCs/>
                <w:color w:val="auto"/>
                <w:szCs w:val="21"/>
                <w:highlight w:val="none"/>
              </w:rPr>
              <w:t>分项名称</w:t>
            </w:r>
          </w:p>
        </w:tc>
        <w:tc>
          <w:tcPr>
            <w:tcW w:w="1282" w:type="dxa"/>
            <w:tcBorders>
              <w:left w:val="single" w:color="000000" w:sz="6" w:space="0"/>
            </w:tcBorders>
            <w:vAlign w:val="center"/>
          </w:tcPr>
          <w:p w14:paraId="7F034CE6">
            <w:pPr>
              <w:pStyle w:val="314"/>
              <w:spacing w:line="332" w:lineRule="exact"/>
              <w:jc w:val="center"/>
              <w:rPr>
                <w:rFonts w:hint="eastAsia"/>
                <w:b w:val="0"/>
                <w:bCs/>
                <w:color w:val="auto"/>
                <w:szCs w:val="21"/>
                <w:highlight w:val="none"/>
              </w:rPr>
            </w:pPr>
            <w:r>
              <w:rPr>
                <w:rFonts w:hint="eastAsia"/>
                <w:b w:val="0"/>
                <w:bCs/>
                <w:color w:val="auto"/>
                <w:spacing w:val="-10"/>
                <w:szCs w:val="21"/>
                <w:highlight w:val="none"/>
              </w:rPr>
              <w:t>规格和型号</w:t>
            </w:r>
          </w:p>
        </w:tc>
        <w:tc>
          <w:tcPr>
            <w:tcW w:w="1977" w:type="dxa"/>
            <w:tcBorders>
              <w:left w:val="single" w:color="000000" w:sz="6" w:space="0"/>
            </w:tcBorders>
            <w:vAlign w:val="center"/>
          </w:tcPr>
          <w:p w14:paraId="7F034CE7">
            <w:pPr>
              <w:pStyle w:val="314"/>
              <w:spacing w:line="332" w:lineRule="exact"/>
              <w:jc w:val="center"/>
              <w:rPr>
                <w:rFonts w:hint="eastAsia"/>
                <w:b w:val="0"/>
                <w:bCs/>
                <w:color w:val="auto"/>
                <w:szCs w:val="21"/>
                <w:highlight w:val="none"/>
              </w:rPr>
            </w:pPr>
            <w:r>
              <w:rPr>
                <w:rFonts w:hint="eastAsia"/>
                <w:b w:val="0"/>
                <w:bCs/>
                <w:color w:val="auto"/>
                <w:spacing w:val="-10"/>
                <w:szCs w:val="21"/>
                <w:highlight w:val="none"/>
              </w:rPr>
              <w:t>品牌或制造厂名称</w:t>
            </w:r>
          </w:p>
        </w:tc>
        <w:tc>
          <w:tcPr>
            <w:tcW w:w="873" w:type="dxa"/>
            <w:vAlign w:val="center"/>
          </w:tcPr>
          <w:p w14:paraId="7F034CE8">
            <w:pPr>
              <w:pStyle w:val="314"/>
              <w:spacing w:line="332" w:lineRule="exact"/>
              <w:jc w:val="center"/>
              <w:rPr>
                <w:rFonts w:hint="eastAsia"/>
                <w:b w:val="0"/>
                <w:bCs/>
                <w:color w:val="auto"/>
                <w:szCs w:val="21"/>
                <w:highlight w:val="none"/>
              </w:rPr>
            </w:pPr>
            <w:r>
              <w:rPr>
                <w:rFonts w:hint="eastAsia"/>
                <w:b w:val="0"/>
                <w:bCs/>
                <w:color w:val="auto"/>
                <w:szCs w:val="21"/>
                <w:highlight w:val="none"/>
              </w:rPr>
              <w:t>数量</w:t>
            </w:r>
          </w:p>
        </w:tc>
        <w:tc>
          <w:tcPr>
            <w:tcW w:w="886" w:type="dxa"/>
            <w:vAlign w:val="center"/>
          </w:tcPr>
          <w:p w14:paraId="7F034CE9">
            <w:pPr>
              <w:pStyle w:val="314"/>
              <w:spacing w:line="332" w:lineRule="exact"/>
              <w:jc w:val="center"/>
              <w:rPr>
                <w:rFonts w:hint="eastAsia"/>
                <w:b w:val="0"/>
                <w:bCs/>
                <w:color w:val="auto"/>
                <w:szCs w:val="21"/>
                <w:highlight w:val="none"/>
              </w:rPr>
            </w:pPr>
            <w:r>
              <w:rPr>
                <w:rFonts w:hint="eastAsia"/>
                <w:b w:val="0"/>
                <w:bCs/>
                <w:color w:val="auto"/>
                <w:szCs w:val="21"/>
                <w:highlight w:val="none"/>
              </w:rPr>
              <w:t>单价</w:t>
            </w:r>
          </w:p>
        </w:tc>
        <w:tc>
          <w:tcPr>
            <w:tcW w:w="955" w:type="dxa"/>
            <w:vAlign w:val="center"/>
          </w:tcPr>
          <w:p w14:paraId="7F034CEA">
            <w:pPr>
              <w:pStyle w:val="314"/>
              <w:spacing w:line="332" w:lineRule="exact"/>
              <w:jc w:val="center"/>
              <w:rPr>
                <w:rFonts w:hint="eastAsia"/>
                <w:b w:val="0"/>
                <w:bCs/>
                <w:color w:val="auto"/>
                <w:szCs w:val="21"/>
                <w:highlight w:val="none"/>
              </w:rPr>
            </w:pPr>
            <w:r>
              <w:rPr>
                <w:rFonts w:hint="eastAsia"/>
                <w:b w:val="0"/>
                <w:bCs/>
                <w:color w:val="auto"/>
                <w:szCs w:val="21"/>
                <w:highlight w:val="none"/>
              </w:rPr>
              <w:t>合价</w:t>
            </w:r>
          </w:p>
        </w:tc>
        <w:tc>
          <w:tcPr>
            <w:tcW w:w="935" w:type="dxa"/>
            <w:vAlign w:val="center"/>
          </w:tcPr>
          <w:p w14:paraId="7F034CEB">
            <w:pPr>
              <w:pStyle w:val="314"/>
              <w:spacing w:line="332" w:lineRule="exact"/>
              <w:jc w:val="center"/>
              <w:rPr>
                <w:rFonts w:hint="eastAsia"/>
                <w:b w:val="0"/>
                <w:bCs/>
                <w:color w:val="auto"/>
                <w:szCs w:val="21"/>
                <w:highlight w:val="none"/>
              </w:rPr>
            </w:pPr>
            <w:r>
              <w:rPr>
                <w:rFonts w:hint="eastAsia"/>
                <w:b w:val="0"/>
                <w:bCs/>
                <w:color w:val="auto"/>
                <w:szCs w:val="21"/>
                <w:highlight w:val="none"/>
              </w:rPr>
              <w:t>备注</w:t>
            </w:r>
          </w:p>
        </w:tc>
      </w:tr>
      <w:tr w14:paraId="7F034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CED">
            <w:pPr>
              <w:pStyle w:val="314"/>
              <w:spacing w:before="75"/>
              <w:ind w:left="7"/>
              <w:jc w:val="center"/>
              <w:rPr>
                <w:rFonts w:hint="eastAsia"/>
                <w:b w:val="0"/>
                <w:bCs/>
                <w:color w:val="auto"/>
                <w:szCs w:val="21"/>
                <w:highlight w:val="none"/>
              </w:rPr>
            </w:pPr>
            <w:r>
              <w:rPr>
                <w:rFonts w:hint="eastAsia"/>
                <w:b w:val="0"/>
                <w:bCs/>
                <w:color w:val="auto"/>
                <w:szCs w:val="21"/>
                <w:highlight w:val="none"/>
              </w:rPr>
              <w:t>1</w:t>
            </w:r>
          </w:p>
        </w:tc>
        <w:tc>
          <w:tcPr>
            <w:tcW w:w="1677" w:type="dxa"/>
            <w:tcBorders>
              <w:right w:val="single" w:color="000000" w:sz="6" w:space="0"/>
            </w:tcBorders>
          </w:tcPr>
          <w:p w14:paraId="7F034CEE">
            <w:pPr>
              <w:pStyle w:val="314"/>
              <w:rPr>
                <w:rFonts w:hint="eastAsia"/>
                <w:b w:val="0"/>
                <w:bCs/>
                <w:color w:val="auto"/>
                <w:szCs w:val="21"/>
                <w:highlight w:val="none"/>
              </w:rPr>
            </w:pPr>
          </w:p>
        </w:tc>
        <w:tc>
          <w:tcPr>
            <w:tcW w:w="1282" w:type="dxa"/>
            <w:tcBorders>
              <w:left w:val="single" w:color="000000" w:sz="6" w:space="0"/>
            </w:tcBorders>
          </w:tcPr>
          <w:p w14:paraId="7F034CEF">
            <w:pPr>
              <w:pStyle w:val="314"/>
              <w:rPr>
                <w:rFonts w:hint="eastAsia"/>
                <w:b w:val="0"/>
                <w:bCs/>
                <w:color w:val="auto"/>
                <w:szCs w:val="21"/>
                <w:highlight w:val="none"/>
              </w:rPr>
            </w:pPr>
          </w:p>
        </w:tc>
        <w:tc>
          <w:tcPr>
            <w:tcW w:w="1977" w:type="dxa"/>
            <w:tcBorders>
              <w:left w:val="single" w:color="000000" w:sz="6" w:space="0"/>
            </w:tcBorders>
          </w:tcPr>
          <w:p w14:paraId="7F034CF0">
            <w:pPr>
              <w:pStyle w:val="314"/>
              <w:rPr>
                <w:rFonts w:hint="eastAsia"/>
                <w:b w:val="0"/>
                <w:bCs/>
                <w:color w:val="auto"/>
                <w:szCs w:val="21"/>
                <w:highlight w:val="none"/>
              </w:rPr>
            </w:pPr>
          </w:p>
        </w:tc>
        <w:tc>
          <w:tcPr>
            <w:tcW w:w="873" w:type="dxa"/>
          </w:tcPr>
          <w:p w14:paraId="7F034CF1">
            <w:pPr>
              <w:pStyle w:val="314"/>
              <w:rPr>
                <w:rFonts w:hint="eastAsia"/>
                <w:b w:val="0"/>
                <w:bCs/>
                <w:color w:val="auto"/>
                <w:szCs w:val="21"/>
                <w:highlight w:val="none"/>
              </w:rPr>
            </w:pPr>
          </w:p>
        </w:tc>
        <w:tc>
          <w:tcPr>
            <w:tcW w:w="886" w:type="dxa"/>
          </w:tcPr>
          <w:p w14:paraId="7F034CF2">
            <w:pPr>
              <w:pStyle w:val="314"/>
              <w:rPr>
                <w:rFonts w:hint="eastAsia"/>
                <w:b w:val="0"/>
                <w:bCs/>
                <w:color w:val="auto"/>
                <w:szCs w:val="21"/>
                <w:highlight w:val="none"/>
              </w:rPr>
            </w:pPr>
          </w:p>
        </w:tc>
        <w:tc>
          <w:tcPr>
            <w:tcW w:w="955" w:type="dxa"/>
          </w:tcPr>
          <w:p w14:paraId="7F034CF3">
            <w:pPr>
              <w:pStyle w:val="314"/>
              <w:rPr>
                <w:rFonts w:hint="eastAsia"/>
                <w:b w:val="0"/>
                <w:bCs/>
                <w:color w:val="auto"/>
                <w:szCs w:val="21"/>
                <w:highlight w:val="none"/>
              </w:rPr>
            </w:pPr>
          </w:p>
        </w:tc>
        <w:tc>
          <w:tcPr>
            <w:tcW w:w="935" w:type="dxa"/>
          </w:tcPr>
          <w:p w14:paraId="7F034CF4">
            <w:pPr>
              <w:pStyle w:val="314"/>
              <w:rPr>
                <w:rFonts w:hint="eastAsia"/>
                <w:b w:val="0"/>
                <w:bCs/>
                <w:color w:val="auto"/>
                <w:szCs w:val="21"/>
                <w:highlight w:val="none"/>
              </w:rPr>
            </w:pPr>
          </w:p>
        </w:tc>
      </w:tr>
      <w:tr w14:paraId="7F034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CF6">
            <w:pPr>
              <w:pStyle w:val="314"/>
              <w:spacing w:before="75"/>
              <w:ind w:left="7"/>
              <w:jc w:val="center"/>
              <w:rPr>
                <w:rFonts w:hint="eastAsia"/>
                <w:b w:val="0"/>
                <w:bCs/>
                <w:color w:val="auto"/>
                <w:szCs w:val="21"/>
                <w:highlight w:val="none"/>
              </w:rPr>
            </w:pPr>
            <w:r>
              <w:rPr>
                <w:rFonts w:hint="eastAsia"/>
                <w:b w:val="0"/>
                <w:bCs/>
                <w:color w:val="auto"/>
                <w:szCs w:val="21"/>
                <w:highlight w:val="none"/>
              </w:rPr>
              <w:t>2</w:t>
            </w:r>
          </w:p>
        </w:tc>
        <w:tc>
          <w:tcPr>
            <w:tcW w:w="1677" w:type="dxa"/>
            <w:tcBorders>
              <w:right w:val="single" w:color="000000" w:sz="6" w:space="0"/>
            </w:tcBorders>
          </w:tcPr>
          <w:p w14:paraId="7F034CF7">
            <w:pPr>
              <w:pStyle w:val="314"/>
              <w:rPr>
                <w:rFonts w:hint="eastAsia"/>
                <w:b w:val="0"/>
                <w:bCs/>
                <w:color w:val="auto"/>
                <w:szCs w:val="21"/>
                <w:highlight w:val="none"/>
              </w:rPr>
            </w:pPr>
          </w:p>
        </w:tc>
        <w:tc>
          <w:tcPr>
            <w:tcW w:w="1282" w:type="dxa"/>
            <w:tcBorders>
              <w:left w:val="single" w:color="000000" w:sz="6" w:space="0"/>
            </w:tcBorders>
          </w:tcPr>
          <w:p w14:paraId="7F034CF8">
            <w:pPr>
              <w:pStyle w:val="314"/>
              <w:rPr>
                <w:rFonts w:hint="eastAsia"/>
                <w:b w:val="0"/>
                <w:bCs/>
                <w:color w:val="auto"/>
                <w:szCs w:val="21"/>
                <w:highlight w:val="none"/>
              </w:rPr>
            </w:pPr>
          </w:p>
        </w:tc>
        <w:tc>
          <w:tcPr>
            <w:tcW w:w="1977" w:type="dxa"/>
            <w:tcBorders>
              <w:left w:val="single" w:color="000000" w:sz="6" w:space="0"/>
            </w:tcBorders>
          </w:tcPr>
          <w:p w14:paraId="7F034CF9">
            <w:pPr>
              <w:pStyle w:val="314"/>
              <w:rPr>
                <w:rFonts w:hint="eastAsia"/>
                <w:b w:val="0"/>
                <w:bCs/>
                <w:color w:val="auto"/>
                <w:szCs w:val="21"/>
                <w:highlight w:val="none"/>
              </w:rPr>
            </w:pPr>
          </w:p>
        </w:tc>
        <w:tc>
          <w:tcPr>
            <w:tcW w:w="873" w:type="dxa"/>
          </w:tcPr>
          <w:p w14:paraId="7F034CFA">
            <w:pPr>
              <w:pStyle w:val="314"/>
              <w:rPr>
                <w:rFonts w:hint="eastAsia"/>
                <w:b w:val="0"/>
                <w:bCs/>
                <w:color w:val="auto"/>
                <w:szCs w:val="21"/>
                <w:highlight w:val="none"/>
              </w:rPr>
            </w:pPr>
          </w:p>
        </w:tc>
        <w:tc>
          <w:tcPr>
            <w:tcW w:w="886" w:type="dxa"/>
          </w:tcPr>
          <w:p w14:paraId="7F034CFB">
            <w:pPr>
              <w:pStyle w:val="314"/>
              <w:rPr>
                <w:rFonts w:hint="eastAsia"/>
                <w:b w:val="0"/>
                <w:bCs/>
                <w:color w:val="auto"/>
                <w:szCs w:val="21"/>
                <w:highlight w:val="none"/>
              </w:rPr>
            </w:pPr>
          </w:p>
        </w:tc>
        <w:tc>
          <w:tcPr>
            <w:tcW w:w="955" w:type="dxa"/>
          </w:tcPr>
          <w:p w14:paraId="7F034CFC">
            <w:pPr>
              <w:pStyle w:val="314"/>
              <w:rPr>
                <w:rFonts w:hint="eastAsia"/>
                <w:b w:val="0"/>
                <w:bCs/>
                <w:color w:val="auto"/>
                <w:szCs w:val="21"/>
                <w:highlight w:val="none"/>
              </w:rPr>
            </w:pPr>
          </w:p>
        </w:tc>
        <w:tc>
          <w:tcPr>
            <w:tcW w:w="935" w:type="dxa"/>
          </w:tcPr>
          <w:p w14:paraId="7F034CFD">
            <w:pPr>
              <w:pStyle w:val="314"/>
              <w:rPr>
                <w:rFonts w:hint="eastAsia"/>
                <w:b w:val="0"/>
                <w:bCs/>
                <w:color w:val="auto"/>
                <w:szCs w:val="21"/>
                <w:highlight w:val="none"/>
              </w:rPr>
            </w:pPr>
          </w:p>
        </w:tc>
      </w:tr>
      <w:tr w14:paraId="7F034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CFF">
            <w:pPr>
              <w:pStyle w:val="314"/>
              <w:spacing w:before="75"/>
              <w:ind w:left="7"/>
              <w:jc w:val="center"/>
              <w:rPr>
                <w:rFonts w:hint="eastAsia"/>
                <w:b w:val="0"/>
                <w:bCs/>
                <w:color w:val="auto"/>
                <w:szCs w:val="21"/>
                <w:highlight w:val="none"/>
              </w:rPr>
            </w:pPr>
            <w:r>
              <w:rPr>
                <w:rFonts w:hint="eastAsia"/>
                <w:b w:val="0"/>
                <w:bCs/>
                <w:color w:val="auto"/>
                <w:szCs w:val="21"/>
                <w:highlight w:val="none"/>
              </w:rPr>
              <w:t>3</w:t>
            </w:r>
          </w:p>
        </w:tc>
        <w:tc>
          <w:tcPr>
            <w:tcW w:w="1677" w:type="dxa"/>
            <w:tcBorders>
              <w:right w:val="single" w:color="000000" w:sz="6" w:space="0"/>
            </w:tcBorders>
          </w:tcPr>
          <w:p w14:paraId="7F034D00">
            <w:pPr>
              <w:pStyle w:val="314"/>
              <w:rPr>
                <w:rFonts w:hint="eastAsia"/>
                <w:b w:val="0"/>
                <w:bCs/>
                <w:color w:val="auto"/>
                <w:szCs w:val="21"/>
                <w:highlight w:val="none"/>
              </w:rPr>
            </w:pPr>
          </w:p>
        </w:tc>
        <w:tc>
          <w:tcPr>
            <w:tcW w:w="1282" w:type="dxa"/>
            <w:tcBorders>
              <w:left w:val="single" w:color="000000" w:sz="6" w:space="0"/>
            </w:tcBorders>
          </w:tcPr>
          <w:p w14:paraId="7F034D01">
            <w:pPr>
              <w:pStyle w:val="314"/>
              <w:rPr>
                <w:rFonts w:hint="eastAsia"/>
                <w:b w:val="0"/>
                <w:bCs/>
                <w:color w:val="auto"/>
                <w:szCs w:val="21"/>
                <w:highlight w:val="none"/>
              </w:rPr>
            </w:pPr>
          </w:p>
        </w:tc>
        <w:tc>
          <w:tcPr>
            <w:tcW w:w="1977" w:type="dxa"/>
            <w:tcBorders>
              <w:left w:val="single" w:color="000000" w:sz="6" w:space="0"/>
            </w:tcBorders>
          </w:tcPr>
          <w:p w14:paraId="7F034D02">
            <w:pPr>
              <w:pStyle w:val="314"/>
              <w:rPr>
                <w:rFonts w:hint="eastAsia"/>
                <w:b w:val="0"/>
                <w:bCs/>
                <w:color w:val="auto"/>
                <w:szCs w:val="21"/>
                <w:highlight w:val="none"/>
              </w:rPr>
            </w:pPr>
          </w:p>
        </w:tc>
        <w:tc>
          <w:tcPr>
            <w:tcW w:w="873" w:type="dxa"/>
          </w:tcPr>
          <w:p w14:paraId="7F034D03">
            <w:pPr>
              <w:pStyle w:val="314"/>
              <w:rPr>
                <w:rFonts w:hint="eastAsia"/>
                <w:b w:val="0"/>
                <w:bCs/>
                <w:color w:val="auto"/>
                <w:szCs w:val="21"/>
                <w:highlight w:val="none"/>
              </w:rPr>
            </w:pPr>
          </w:p>
        </w:tc>
        <w:tc>
          <w:tcPr>
            <w:tcW w:w="886" w:type="dxa"/>
          </w:tcPr>
          <w:p w14:paraId="7F034D04">
            <w:pPr>
              <w:pStyle w:val="314"/>
              <w:rPr>
                <w:rFonts w:hint="eastAsia"/>
                <w:b w:val="0"/>
                <w:bCs/>
                <w:color w:val="auto"/>
                <w:szCs w:val="21"/>
                <w:highlight w:val="none"/>
              </w:rPr>
            </w:pPr>
          </w:p>
        </w:tc>
        <w:tc>
          <w:tcPr>
            <w:tcW w:w="955" w:type="dxa"/>
          </w:tcPr>
          <w:p w14:paraId="7F034D05">
            <w:pPr>
              <w:pStyle w:val="314"/>
              <w:rPr>
                <w:rFonts w:hint="eastAsia"/>
                <w:b w:val="0"/>
                <w:bCs/>
                <w:color w:val="auto"/>
                <w:szCs w:val="21"/>
                <w:highlight w:val="none"/>
              </w:rPr>
            </w:pPr>
          </w:p>
        </w:tc>
        <w:tc>
          <w:tcPr>
            <w:tcW w:w="935" w:type="dxa"/>
          </w:tcPr>
          <w:p w14:paraId="7F034D06">
            <w:pPr>
              <w:pStyle w:val="314"/>
              <w:rPr>
                <w:rFonts w:hint="eastAsia"/>
                <w:b w:val="0"/>
                <w:bCs/>
                <w:color w:val="auto"/>
                <w:szCs w:val="21"/>
                <w:highlight w:val="none"/>
              </w:rPr>
            </w:pPr>
          </w:p>
        </w:tc>
      </w:tr>
      <w:tr w14:paraId="7F034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D08">
            <w:pPr>
              <w:pStyle w:val="314"/>
              <w:spacing w:before="75"/>
              <w:ind w:left="7"/>
              <w:jc w:val="center"/>
              <w:rPr>
                <w:rFonts w:hint="eastAsia"/>
                <w:b w:val="0"/>
                <w:bCs/>
                <w:color w:val="auto"/>
                <w:szCs w:val="21"/>
                <w:highlight w:val="none"/>
              </w:rPr>
            </w:pPr>
            <w:r>
              <w:rPr>
                <w:rFonts w:hint="eastAsia"/>
                <w:b w:val="0"/>
                <w:bCs/>
                <w:color w:val="auto"/>
                <w:szCs w:val="21"/>
                <w:highlight w:val="none"/>
              </w:rPr>
              <w:t>4</w:t>
            </w:r>
          </w:p>
        </w:tc>
        <w:tc>
          <w:tcPr>
            <w:tcW w:w="1677" w:type="dxa"/>
            <w:tcBorders>
              <w:right w:val="single" w:color="000000" w:sz="6" w:space="0"/>
            </w:tcBorders>
          </w:tcPr>
          <w:p w14:paraId="7F034D09">
            <w:pPr>
              <w:pStyle w:val="314"/>
              <w:rPr>
                <w:rFonts w:hint="eastAsia"/>
                <w:b w:val="0"/>
                <w:bCs/>
                <w:color w:val="auto"/>
                <w:szCs w:val="21"/>
                <w:highlight w:val="none"/>
              </w:rPr>
            </w:pPr>
          </w:p>
        </w:tc>
        <w:tc>
          <w:tcPr>
            <w:tcW w:w="1282" w:type="dxa"/>
            <w:tcBorders>
              <w:left w:val="single" w:color="000000" w:sz="6" w:space="0"/>
            </w:tcBorders>
          </w:tcPr>
          <w:p w14:paraId="7F034D0A">
            <w:pPr>
              <w:pStyle w:val="314"/>
              <w:rPr>
                <w:rFonts w:hint="eastAsia"/>
                <w:b w:val="0"/>
                <w:bCs/>
                <w:color w:val="auto"/>
                <w:szCs w:val="21"/>
                <w:highlight w:val="none"/>
              </w:rPr>
            </w:pPr>
          </w:p>
        </w:tc>
        <w:tc>
          <w:tcPr>
            <w:tcW w:w="1977" w:type="dxa"/>
            <w:tcBorders>
              <w:left w:val="single" w:color="000000" w:sz="6" w:space="0"/>
            </w:tcBorders>
          </w:tcPr>
          <w:p w14:paraId="7F034D0B">
            <w:pPr>
              <w:pStyle w:val="314"/>
              <w:rPr>
                <w:rFonts w:hint="eastAsia"/>
                <w:b w:val="0"/>
                <w:bCs/>
                <w:color w:val="auto"/>
                <w:szCs w:val="21"/>
                <w:highlight w:val="none"/>
              </w:rPr>
            </w:pPr>
          </w:p>
        </w:tc>
        <w:tc>
          <w:tcPr>
            <w:tcW w:w="873" w:type="dxa"/>
          </w:tcPr>
          <w:p w14:paraId="7F034D0C">
            <w:pPr>
              <w:pStyle w:val="314"/>
              <w:rPr>
                <w:rFonts w:hint="eastAsia"/>
                <w:b w:val="0"/>
                <w:bCs/>
                <w:color w:val="auto"/>
                <w:szCs w:val="21"/>
                <w:highlight w:val="none"/>
              </w:rPr>
            </w:pPr>
          </w:p>
        </w:tc>
        <w:tc>
          <w:tcPr>
            <w:tcW w:w="886" w:type="dxa"/>
          </w:tcPr>
          <w:p w14:paraId="7F034D0D">
            <w:pPr>
              <w:pStyle w:val="314"/>
              <w:rPr>
                <w:rFonts w:hint="eastAsia"/>
                <w:b w:val="0"/>
                <w:bCs/>
                <w:color w:val="auto"/>
                <w:szCs w:val="21"/>
                <w:highlight w:val="none"/>
              </w:rPr>
            </w:pPr>
          </w:p>
        </w:tc>
        <w:tc>
          <w:tcPr>
            <w:tcW w:w="955" w:type="dxa"/>
          </w:tcPr>
          <w:p w14:paraId="7F034D0E">
            <w:pPr>
              <w:pStyle w:val="314"/>
              <w:rPr>
                <w:rFonts w:hint="eastAsia"/>
                <w:b w:val="0"/>
                <w:bCs/>
                <w:color w:val="auto"/>
                <w:szCs w:val="21"/>
                <w:highlight w:val="none"/>
              </w:rPr>
            </w:pPr>
          </w:p>
        </w:tc>
        <w:tc>
          <w:tcPr>
            <w:tcW w:w="935" w:type="dxa"/>
          </w:tcPr>
          <w:p w14:paraId="7F034D0F">
            <w:pPr>
              <w:pStyle w:val="314"/>
              <w:rPr>
                <w:rFonts w:hint="eastAsia"/>
                <w:b w:val="0"/>
                <w:bCs/>
                <w:color w:val="auto"/>
                <w:szCs w:val="21"/>
                <w:highlight w:val="none"/>
              </w:rPr>
            </w:pPr>
          </w:p>
        </w:tc>
      </w:tr>
      <w:tr w14:paraId="7F034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D11">
            <w:pPr>
              <w:pStyle w:val="314"/>
              <w:spacing w:before="75"/>
              <w:ind w:left="7"/>
              <w:jc w:val="center"/>
              <w:rPr>
                <w:rFonts w:hint="eastAsia"/>
                <w:b w:val="0"/>
                <w:bCs/>
                <w:color w:val="auto"/>
                <w:szCs w:val="21"/>
                <w:highlight w:val="none"/>
              </w:rPr>
            </w:pPr>
            <w:r>
              <w:rPr>
                <w:rFonts w:hint="eastAsia"/>
                <w:b w:val="0"/>
                <w:bCs/>
                <w:color w:val="auto"/>
                <w:szCs w:val="21"/>
                <w:highlight w:val="none"/>
              </w:rPr>
              <w:t>5</w:t>
            </w:r>
          </w:p>
        </w:tc>
        <w:tc>
          <w:tcPr>
            <w:tcW w:w="1677" w:type="dxa"/>
            <w:tcBorders>
              <w:right w:val="single" w:color="000000" w:sz="6" w:space="0"/>
            </w:tcBorders>
          </w:tcPr>
          <w:p w14:paraId="7F034D12">
            <w:pPr>
              <w:pStyle w:val="314"/>
              <w:rPr>
                <w:rFonts w:hint="eastAsia"/>
                <w:b w:val="0"/>
                <w:bCs/>
                <w:color w:val="auto"/>
                <w:szCs w:val="21"/>
                <w:highlight w:val="none"/>
              </w:rPr>
            </w:pPr>
          </w:p>
        </w:tc>
        <w:tc>
          <w:tcPr>
            <w:tcW w:w="1282" w:type="dxa"/>
            <w:tcBorders>
              <w:left w:val="single" w:color="000000" w:sz="6" w:space="0"/>
            </w:tcBorders>
          </w:tcPr>
          <w:p w14:paraId="7F034D13">
            <w:pPr>
              <w:pStyle w:val="314"/>
              <w:rPr>
                <w:rFonts w:hint="eastAsia"/>
                <w:b w:val="0"/>
                <w:bCs/>
                <w:color w:val="auto"/>
                <w:szCs w:val="21"/>
                <w:highlight w:val="none"/>
              </w:rPr>
            </w:pPr>
          </w:p>
        </w:tc>
        <w:tc>
          <w:tcPr>
            <w:tcW w:w="1977" w:type="dxa"/>
            <w:tcBorders>
              <w:left w:val="single" w:color="000000" w:sz="6" w:space="0"/>
            </w:tcBorders>
          </w:tcPr>
          <w:p w14:paraId="7F034D14">
            <w:pPr>
              <w:pStyle w:val="314"/>
              <w:rPr>
                <w:rFonts w:hint="eastAsia"/>
                <w:b w:val="0"/>
                <w:bCs/>
                <w:color w:val="auto"/>
                <w:szCs w:val="21"/>
                <w:highlight w:val="none"/>
              </w:rPr>
            </w:pPr>
          </w:p>
        </w:tc>
        <w:tc>
          <w:tcPr>
            <w:tcW w:w="873" w:type="dxa"/>
          </w:tcPr>
          <w:p w14:paraId="7F034D15">
            <w:pPr>
              <w:pStyle w:val="314"/>
              <w:rPr>
                <w:rFonts w:hint="eastAsia"/>
                <w:b w:val="0"/>
                <w:bCs/>
                <w:color w:val="auto"/>
                <w:szCs w:val="21"/>
                <w:highlight w:val="none"/>
              </w:rPr>
            </w:pPr>
          </w:p>
        </w:tc>
        <w:tc>
          <w:tcPr>
            <w:tcW w:w="886" w:type="dxa"/>
          </w:tcPr>
          <w:p w14:paraId="7F034D16">
            <w:pPr>
              <w:pStyle w:val="314"/>
              <w:rPr>
                <w:rFonts w:hint="eastAsia"/>
                <w:b w:val="0"/>
                <w:bCs/>
                <w:color w:val="auto"/>
                <w:szCs w:val="21"/>
                <w:highlight w:val="none"/>
              </w:rPr>
            </w:pPr>
          </w:p>
        </w:tc>
        <w:tc>
          <w:tcPr>
            <w:tcW w:w="955" w:type="dxa"/>
          </w:tcPr>
          <w:p w14:paraId="7F034D17">
            <w:pPr>
              <w:pStyle w:val="314"/>
              <w:rPr>
                <w:rFonts w:hint="eastAsia"/>
                <w:b w:val="0"/>
                <w:bCs/>
                <w:color w:val="auto"/>
                <w:szCs w:val="21"/>
                <w:highlight w:val="none"/>
              </w:rPr>
            </w:pPr>
          </w:p>
        </w:tc>
        <w:tc>
          <w:tcPr>
            <w:tcW w:w="935" w:type="dxa"/>
          </w:tcPr>
          <w:p w14:paraId="7F034D18">
            <w:pPr>
              <w:pStyle w:val="314"/>
              <w:rPr>
                <w:rFonts w:hint="eastAsia"/>
                <w:b w:val="0"/>
                <w:bCs/>
                <w:color w:val="auto"/>
                <w:szCs w:val="21"/>
                <w:highlight w:val="none"/>
              </w:rPr>
            </w:pPr>
          </w:p>
        </w:tc>
      </w:tr>
      <w:tr w14:paraId="7F03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06" w:type="dxa"/>
          </w:tcPr>
          <w:p w14:paraId="7F034D1A">
            <w:pPr>
              <w:pStyle w:val="314"/>
              <w:spacing w:before="75"/>
              <w:ind w:left="120" w:right="108"/>
              <w:jc w:val="center"/>
              <w:rPr>
                <w:rFonts w:hint="eastAsia"/>
                <w:b w:val="0"/>
                <w:bCs/>
                <w:i/>
                <w:color w:val="auto"/>
                <w:szCs w:val="21"/>
                <w:highlight w:val="none"/>
              </w:rPr>
            </w:pPr>
            <w:r>
              <w:rPr>
                <w:rFonts w:hint="eastAsia"/>
                <w:b w:val="0"/>
                <w:bCs/>
                <w:iCs/>
                <w:color w:val="auto"/>
                <w:w w:val="115"/>
                <w:szCs w:val="21"/>
                <w:highlight w:val="none"/>
              </w:rPr>
              <w:t>…</w:t>
            </w:r>
          </w:p>
        </w:tc>
        <w:tc>
          <w:tcPr>
            <w:tcW w:w="1677" w:type="dxa"/>
            <w:tcBorders>
              <w:right w:val="single" w:color="000000" w:sz="6" w:space="0"/>
            </w:tcBorders>
          </w:tcPr>
          <w:p w14:paraId="7F034D1B">
            <w:pPr>
              <w:pStyle w:val="314"/>
              <w:spacing w:before="75"/>
              <w:ind w:left="339" w:right="328"/>
              <w:jc w:val="center"/>
              <w:rPr>
                <w:rFonts w:hint="eastAsia"/>
                <w:b w:val="0"/>
                <w:bCs/>
                <w:i/>
                <w:color w:val="auto"/>
                <w:szCs w:val="21"/>
                <w:highlight w:val="none"/>
              </w:rPr>
            </w:pPr>
            <w:r>
              <w:rPr>
                <w:rFonts w:hint="eastAsia"/>
                <w:b w:val="0"/>
                <w:bCs/>
                <w:iCs/>
                <w:color w:val="auto"/>
                <w:w w:val="115"/>
                <w:szCs w:val="21"/>
                <w:highlight w:val="none"/>
              </w:rPr>
              <w:t>……</w:t>
            </w:r>
          </w:p>
        </w:tc>
        <w:tc>
          <w:tcPr>
            <w:tcW w:w="1282" w:type="dxa"/>
            <w:tcBorders>
              <w:left w:val="single" w:color="000000" w:sz="6" w:space="0"/>
            </w:tcBorders>
          </w:tcPr>
          <w:p w14:paraId="7F034D1C">
            <w:pPr>
              <w:pStyle w:val="314"/>
              <w:rPr>
                <w:rFonts w:hint="eastAsia"/>
                <w:b w:val="0"/>
                <w:bCs/>
                <w:color w:val="auto"/>
                <w:szCs w:val="21"/>
                <w:highlight w:val="none"/>
              </w:rPr>
            </w:pPr>
          </w:p>
        </w:tc>
        <w:tc>
          <w:tcPr>
            <w:tcW w:w="1977" w:type="dxa"/>
            <w:tcBorders>
              <w:left w:val="single" w:color="000000" w:sz="6" w:space="0"/>
            </w:tcBorders>
          </w:tcPr>
          <w:p w14:paraId="7F034D1D">
            <w:pPr>
              <w:pStyle w:val="314"/>
              <w:rPr>
                <w:rFonts w:hint="eastAsia"/>
                <w:b w:val="0"/>
                <w:bCs/>
                <w:color w:val="auto"/>
                <w:szCs w:val="21"/>
                <w:highlight w:val="none"/>
              </w:rPr>
            </w:pPr>
          </w:p>
        </w:tc>
        <w:tc>
          <w:tcPr>
            <w:tcW w:w="873" w:type="dxa"/>
          </w:tcPr>
          <w:p w14:paraId="7F034D1E">
            <w:pPr>
              <w:pStyle w:val="314"/>
              <w:rPr>
                <w:rFonts w:hint="eastAsia"/>
                <w:b w:val="0"/>
                <w:bCs/>
                <w:color w:val="auto"/>
                <w:szCs w:val="21"/>
                <w:highlight w:val="none"/>
              </w:rPr>
            </w:pPr>
          </w:p>
        </w:tc>
        <w:tc>
          <w:tcPr>
            <w:tcW w:w="886" w:type="dxa"/>
          </w:tcPr>
          <w:p w14:paraId="7F034D1F">
            <w:pPr>
              <w:pStyle w:val="314"/>
              <w:rPr>
                <w:rFonts w:hint="eastAsia"/>
                <w:b w:val="0"/>
                <w:bCs/>
                <w:color w:val="auto"/>
                <w:szCs w:val="21"/>
                <w:highlight w:val="none"/>
              </w:rPr>
            </w:pPr>
          </w:p>
        </w:tc>
        <w:tc>
          <w:tcPr>
            <w:tcW w:w="955" w:type="dxa"/>
          </w:tcPr>
          <w:p w14:paraId="7F034D20">
            <w:pPr>
              <w:pStyle w:val="314"/>
              <w:rPr>
                <w:rFonts w:hint="eastAsia"/>
                <w:b w:val="0"/>
                <w:bCs/>
                <w:color w:val="auto"/>
                <w:szCs w:val="21"/>
                <w:highlight w:val="none"/>
              </w:rPr>
            </w:pPr>
          </w:p>
        </w:tc>
        <w:tc>
          <w:tcPr>
            <w:tcW w:w="935" w:type="dxa"/>
          </w:tcPr>
          <w:p w14:paraId="7F034D21">
            <w:pPr>
              <w:pStyle w:val="314"/>
              <w:rPr>
                <w:rFonts w:hint="eastAsia"/>
                <w:b w:val="0"/>
                <w:bCs/>
                <w:color w:val="auto"/>
                <w:szCs w:val="21"/>
                <w:highlight w:val="none"/>
              </w:rPr>
            </w:pPr>
          </w:p>
        </w:tc>
      </w:tr>
      <w:tr w14:paraId="7F034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7301" w:type="dxa"/>
            <w:gridSpan w:val="6"/>
            <w:vAlign w:val="center"/>
          </w:tcPr>
          <w:p w14:paraId="7F034D23">
            <w:pPr>
              <w:pStyle w:val="314"/>
              <w:spacing w:line="329" w:lineRule="exact"/>
              <w:jc w:val="center"/>
              <w:rPr>
                <w:rFonts w:hint="eastAsia"/>
                <w:b w:val="0"/>
                <w:bCs/>
                <w:color w:val="auto"/>
                <w:szCs w:val="21"/>
                <w:highlight w:val="none"/>
              </w:rPr>
            </w:pPr>
            <w:r>
              <w:rPr>
                <w:rFonts w:hint="eastAsia"/>
                <w:b w:val="0"/>
                <w:bCs/>
                <w:color w:val="auto"/>
                <w:szCs w:val="21"/>
                <w:highlight w:val="none"/>
              </w:rPr>
              <w:t>投标总报价</w:t>
            </w:r>
          </w:p>
        </w:tc>
        <w:tc>
          <w:tcPr>
            <w:tcW w:w="955" w:type="dxa"/>
            <w:vAlign w:val="center"/>
          </w:tcPr>
          <w:p w14:paraId="7F034D24">
            <w:pPr>
              <w:pStyle w:val="314"/>
              <w:jc w:val="center"/>
              <w:rPr>
                <w:rFonts w:hint="eastAsia"/>
                <w:b w:val="0"/>
                <w:bCs/>
                <w:color w:val="auto"/>
                <w:szCs w:val="21"/>
                <w:highlight w:val="none"/>
              </w:rPr>
            </w:pPr>
          </w:p>
        </w:tc>
        <w:tc>
          <w:tcPr>
            <w:tcW w:w="935" w:type="dxa"/>
            <w:vAlign w:val="center"/>
          </w:tcPr>
          <w:p w14:paraId="7F034D25">
            <w:pPr>
              <w:pStyle w:val="314"/>
              <w:jc w:val="center"/>
              <w:rPr>
                <w:rFonts w:hint="eastAsia"/>
                <w:b w:val="0"/>
                <w:bCs/>
                <w:color w:val="auto"/>
                <w:szCs w:val="21"/>
                <w:highlight w:val="none"/>
              </w:rPr>
            </w:pPr>
          </w:p>
        </w:tc>
      </w:tr>
    </w:tbl>
    <w:p w14:paraId="7F034D27">
      <w:pPr>
        <w:spacing w:line="360" w:lineRule="auto"/>
        <w:rPr>
          <w:rFonts w:hint="eastAsia" w:ascii="宋体" w:hAnsi="宋体" w:cs="宋体"/>
          <w:b w:val="0"/>
          <w:bCs/>
          <w:snapToGrid w:val="0"/>
          <w:color w:val="auto"/>
          <w:w w:val="99"/>
          <w:highlight w:val="none"/>
        </w:rPr>
      </w:pPr>
    </w:p>
    <w:p w14:paraId="7F034D28">
      <w:pPr>
        <w:pStyle w:val="2"/>
        <w:rPr>
          <w:rFonts w:ascii="宋体" w:hAnsi="宋体" w:cs="宋体"/>
          <w:b w:val="0"/>
          <w:bCs/>
          <w:color w:val="auto"/>
          <w:highlight w:val="none"/>
        </w:rPr>
      </w:pPr>
    </w:p>
    <w:p w14:paraId="7F034D29">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cs="宋体"/>
          <w:b w:val="0"/>
          <w:bCs/>
          <w:snapToGrid w:val="0"/>
          <w:color w:val="auto"/>
          <w:kern w:val="0"/>
          <w:szCs w:val="21"/>
          <w:highlight w:val="none"/>
        </w:rPr>
      </w:pPr>
      <w:bookmarkStart w:id="1002" w:name="_Hlk66701018"/>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D2A">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（签名或盖章） </w:t>
      </w:r>
    </w:p>
    <w:p w14:paraId="7F034D2B">
      <w:pPr>
        <w:tabs>
          <w:tab w:val="left" w:pos="631"/>
          <w:tab w:val="left" w:pos="1471"/>
          <w:tab w:val="left" w:pos="2311"/>
        </w:tabs>
        <w:autoSpaceDE w:val="0"/>
        <w:autoSpaceDN w:val="0"/>
        <w:spacing w:before="37"/>
        <w:ind w:right="597"/>
        <w:jc w:val="right"/>
        <w:rPr>
          <w:rFonts w:hint="eastAsia" w:ascii="宋体" w:hAnsi="宋体" w:cs="宋体"/>
          <w:b w:val="0"/>
          <w:bCs/>
          <w:color w:val="auto"/>
          <w:kern w:val="0"/>
          <w:szCs w:val="21"/>
          <w:highlight w:val="none"/>
        </w:rPr>
      </w:pPr>
      <w:r>
        <w:rPr>
          <w:rFonts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w:t>
      </w:r>
    </w:p>
    <w:p w14:paraId="7F034D2C">
      <w:pPr>
        <w:pStyle w:val="332"/>
        <w:tabs>
          <w:tab w:val="left" w:pos="805"/>
        </w:tabs>
        <w:spacing w:before="151"/>
        <w:ind w:left="540" w:firstLine="0"/>
        <w:jc w:val="left"/>
        <w:rPr>
          <w:rFonts w:hint="eastAsia"/>
          <w:b w:val="0"/>
          <w:bCs/>
          <w:color w:val="auto"/>
          <w:spacing w:val="-3"/>
          <w:szCs w:val="21"/>
          <w:highlight w:val="none"/>
        </w:rPr>
      </w:pPr>
    </w:p>
    <w:p w14:paraId="7F034D2D">
      <w:pPr>
        <w:pStyle w:val="332"/>
        <w:tabs>
          <w:tab w:val="left" w:pos="805"/>
        </w:tabs>
        <w:spacing w:before="151"/>
        <w:ind w:left="540" w:firstLine="0"/>
        <w:jc w:val="left"/>
        <w:rPr>
          <w:rFonts w:hint="eastAsia"/>
          <w:b w:val="0"/>
          <w:bCs/>
          <w:color w:val="auto"/>
          <w:spacing w:val="-3"/>
          <w:szCs w:val="21"/>
          <w:highlight w:val="none"/>
        </w:rPr>
      </w:pPr>
      <w:r>
        <w:rPr>
          <w:rFonts w:hint="eastAsia"/>
          <w:b w:val="0"/>
          <w:bCs/>
          <w:color w:val="auto"/>
          <w:szCs w:val="21"/>
          <w:highlight w:val="none"/>
        </w:rPr>
        <w:t>□</w:t>
      </w:r>
      <w:r>
        <w:rPr>
          <w:rFonts w:hint="eastAsia"/>
          <w:b w:val="0"/>
          <w:bCs/>
          <w:color w:val="auto"/>
          <w:spacing w:val="-3"/>
          <w:szCs w:val="21"/>
          <w:highlight w:val="none"/>
        </w:rPr>
        <w:t>3. 所需进口元器件、原材料清单及报价表（含入投标总价）</w:t>
      </w:r>
    </w:p>
    <w:p w14:paraId="7F034D2E">
      <w:pPr>
        <w:spacing w:line="360" w:lineRule="auto"/>
        <w:ind w:firstLine="7350" w:firstLineChars="3500"/>
        <w:rPr>
          <w:rFonts w:ascii="宋体" w:hAnsi="宋体" w:cs="宋体"/>
          <w:b w:val="0"/>
          <w:bCs/>
          <w:color w:val="auto"/>
          <w:highlight w:val="none"/>
        </w:rPr>
      </w:pPr>
      <w:r>
        <w:rPr>
          <w:rFonts w:hint="eastAsia" w:ascii="宋体" w:hAnsi="宋体" w:cs="宋体"/>
          <w:b w:val="0"/>
          <w:bCs/>
          <w:color w:val="auto"/>
          <w:szCs w:val="21"/>
          <w:highlight w:val="none"/>
        </w:rPr>
        <w:t>单位：人民币元</w:t>
      </w:r>
    </w:p>
    <w:tbl>
      <w:tblPr>
        <w:tblStyle w:val="46"/>
        <w:tblW w:w="9333"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7F03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24" w:type="dxa"/>
            <w:vAlign w:val="center"/>
          </w:tcPr>
          <w:p w14:paraId="7F034D2F">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序号</w:t>
            </w:r>
          </w:p>
        </w:tc>
        <w:tc>
          <w:tcPr>
            <w:tcW w:w="1260" w:type="dxa"/>
            <w:vAlign w:val="center"/>
          </w:tcPr>
          <w:p w14:paraId="7F034D30">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名称</w:t>
            </w:r>
          </w:p>
        </w:tc>
        <w:tc>
          <w:tcPr>
            <w:tcW w:w="1675" w:type="dxa"/>
            <w:vAlign w:val="center"/>
          </w:tcPr>
          <w:p w14:paraId="7F034D31">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规格和型号</w:t>
            </w:r>
          </w:p>
        </w:tc>
        <w:tc>
          <w:tcPr>
            <w:tcW w:w="1891" w:type="dxa"/>
            <w:vAlign w:val="center"/>
          </w:tcPr>
          <w:p w14:paraId="7F034D32">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品牌或制造厂名称</w:t>
            </w:r>
          </w:p>
        </w:tc>
        <w:tc>
          <w:tcPr>
            <w:tcW w:w="1050" w:type="dxa"/>
            <w:vAlign w:val="center"/>
          </w:tcPr>
          <w:p w14:paraId="7F034D33">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数量</w:t>
            </w:r>
          </w:p>
        </w:tc>
        <w:tc>
          <w:tcPr>
            <w:tcW w:w="1417" w:type="dxa"/>
            <w:vAlign w:val="center"/>
          </w:tcPr>
          <w:p w14:paraId="7F034D34">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单价</w:t>
            </w:r>
          </w:p>
        </w:tc>
        <w:tc>
          <w:tcPr>
            <w:tcW w:w="1416" w:type="dxa"/>
            <w:vAlign w:val="center"/>
          </w:tcPr>
          <w:p w14:paraId="7F034D35">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合价</w:t>
            </w:r>
          </w:p>
        </w:tc>
      </w:tr>
      <w:tr w14:paraId="7F03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37">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p>
        </w:tc>
        <w:tc>
          <w:tcPr>
            <w:tcW w:w="1260" w:type="dxa"/>
          </w:tcPr>
          <w:p w14:paraId="7F034D38">
            <w:pPr>
              <w:spacing w:line="336" w:lineRule="auto"/>
              <w:rPr>
                <w:rFonts w:hint="eastAsia" w:ascii="宋体" w:hAnsi="宋体" w:cs="宋体"/>
                <w:b w:val="0"/>
                <w:bCs/>
                <w:color w:val="auto"/>
                <w:szCs w:val="21"/>
                <w:highlight w:val="none"/>
              </w:rPr>
            </w:pPr>
          </w:p>
        </w:tc>
        <w:tc>
          <w:tcPr>
            <w:tcW w:w="1675" w:type="dxa"/>
          </w:tcPr>
          <w:p w14:paraId="7F034D39">
            <w:pPr>
              <w:spacing w:line="336" w:lineRule="auto"/>
              <w:rPr>
                <w:rFonts w:hint="eastAsia" w:ascii="宋体" w:hAnsi="宋体" w:cs="宋体"/>
                <w:b w:val="0"/>
                <w:bCs/>
                <w:color w:val="auto"/>
                <w:szCs w:val="21"/>
                <w:highlight w:val="none"/>
              </w:rPr>
            </w:pPr>
          </w:p>
        </w:tc>
        <w:tc>
          <w:tcPr>
            <w:tcW w:w="1891" w:type="dxa"/>
          </w:tcPr>
          <w:p w14:paraId="7F034D3A">
            <w:pPr>
              <w:spacing w:line="336" w:lineRule="auto"/>
              <w:rPr>
                <w:rFonts w:hint="eastAsia" w:ascii="宋体" w:hAnsi="宋体" w:cs="宋体"/>
                <w:b w:val="0"/>
                <w:bCs/>
                <w:color w:val="auto"/>
                <w:szCs w:val="21"/>
                <w:highlight w:val="none"/>
              </w:rPr>
            </w:pPr>
          </w:p>
        </w:tc>
        <w:tc>
          <w:tcPr>
            <w:tcW w:w="1050" w:type="dxa"/>
          </w:tcPr>
          <w:p w14:paraId="7F034D3B">
            <w:pPr>
              <w:spacing w:line="336" w:lineRule="auto"/>
              <w:rPr>
                <w:rFonts w:hint="eastAsia" w:ascii="宋体" w:hAnsi="宋体" w:cs="宋体"/>
                <w:b w:val="0"/>
                <w:bCs/>
                <w:color w:val="auto"/>
                <w:szCs w:val="21"/>
                <w:highlight w:val="none"/>
              </w:rPr>
            </w:pPr>
          </w:p>
        </w:tc>
        <w:tc>
          <w:tcPr>
            <w:tcW w:w="1417" w:type="dxa"/>
          </w:tcPr>
          <w:p w14:paraId="7F034D3C">
            <w:pPr>
              <w:spacing w:line="336" w:lineRule="auto"/>
              <w:rPr>
                <w:rFonts w:hint="eastAsia" w:ascii="宋体" w:hAnsi="宋体" w:cs="宋体"/>
                <w:b w:val="0"/>
                <w:bCs/>
                <w:color w:val="auto"/>
                <w:szCs w:val="21"/>
                <w:highlight w:val="none"/>
              </w:rPr>
            </w:pPr>
          </w:p>
        </w:tc>
        <w:tc>
          <w:tcPr>
            <w:tcW w:w="1416" w:type="dxa"/>
          </w:tcPr>
          <w:p w14:paraId="7F034D3D">
            <w:pPr>
              <w:spacing w:line="336" w:lineRule="auto"/>
              <w:rPr>
                <w:rFonts w:hint="eastAsia" w:ascii="宋体" w:hAnsi="宋体" w:cs="宋体"/>
                <w:b w:val="0"/>
                <w:bCs/>
                <w:color w:val="auto"/>
                <w:szCs w:val="21"/>
                <w:highlight w:val="none"/>
              </w:rPr>
            </w:pPr>
          </w:p>
        </w:tc>
      </w:tr>
      <w:tr w14:paraId="7F03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3F">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p>
        </w:tc>
        <w:tc>
          <w:tcPr>
            <w:tcW w:w="1260" w:type="dxa"/>
          </w:tcPr>
          <w:p w14:paraId="7F034D40">
            <w:pPr>
              <w:spacing w:line="336" w:lineRule="auto"/>
              <w:rPr>
                <w:rFonts w:hint="eastAsia" w:ascii="宋体" w:hAnsi="宋体" w:cs="宋体"/>
                <w:b w:val="0"/>
                <w:bCs/>
                <w:color w:val="auto"/>
                <w:szCs w:val="21"/>
                <w:highlight w:val="none"/>
              </w:rPr>
            </w:pPr>
          </w:p>
        </w:tc>
        <w:tc>
          <w:tcPr>
            <w:tcW w:w="1675" w:type="dxa"/>
          </w:tcPr>
          <w:p w14:paraId="7F034D41">
            <w:pPr>
              <w:spacing w:line="336" w:lineRule="auto"/>
              <w:rPr>
                <w:rFonts w:hint="eastAsia" w:ascii="宋体" w:hAnsi="宋体" w:cs="宋体"/>
                <w:b w:val="0"/>
                <w:bCs/>
                <w:color w:val="auto"/>
                <w:szCs w:val="21"/>
                <w:highlight w:val="none"/>
              </w:rPr>
            </w:pPr>
          </w:p>
        </w:tc>
        <w:tc>
          <w:tcPr>
            <w:tcW w:w="1891" w:type="dxa"/>
          </w:tcPr>
          <w:p w14:paraId="7F034D42">
            <w:pPr>
              <w:spacing w:line="336" w:lineRule="auto"/>
              <w:rPr>
                <w:rFonts w:hint="eastAsia" w:ascii="宋体" w:hAnsi="宋体" w:cs="宋体"/>
                <w:b w:val="0"/>
                <w:bCs/>
                <w:color w:val="auto"/>
                <w:szCs w:val="21"/>
                <w:highlight w:val="none"/>
              </w:rPr>
            </w:pPr>
          </w:p>
        </w:tc>
        <w:tc>
          <w:tcPr>
            <w:tcW w:w="1050" w:type="dxa"/>
          </w:tcPr>
          <w:p w14:paraId="7F034D43">
            <w:pPr>
              <w:spacing w:line="336" w:lineRule="auto"/>
              <w:rPr>
                <w:rFonts w:hint="eastAsia" w:ascii="宋体" w:hAnsi="宋体" w:cs="宋体"/>
                <w:b w:val="0"/>
                <w:bCs/>
                <w:color w:val="auto"/>
                <w:szCs w:val="21"/>
                <w:highlight w:val="none"/>
              </w:rPr>
            </w:pPr>
          </w:p>
        </w:tc>
        <w:tc>
          <w:tcPr>
            <w:tcW w:w="1417" w:type="dxa"/>
          </w:tcPr>
          <w:p w14:paraId="7F034D44">
            <w:pPr>
              <w:spacing w:line="336" w:lineRule="auto"/>
              <w:rPr>
                <w:rFonts w:hint="eastAsia" w:ascii="宋体" w:hAnsi="宋体" w:cs="宋体"/>
                <w:b w:val="0"/>
                <w:bCs/>
                <w:color w:val="auto"/>
                <w:szCs w:val="21"/>
                <w:highlight w:val="none"/>
              </w:rPr>
            </w:pPr>
          </w:p>
        </w:tc>
        <w:tc>
          <w:tcPr>
            <w:tcW w:w="1416" w:type="dxa"/>
          </w:tcPr>
          <w:p w14:paraId="7F034D45">
            <w:pPr>
              <w:spacing w:line="336" w:lineRule="auto"/>
              <w:rPr>
                <w:rFonts w:hint="eastAsia" w:ascii="宋体" w:hAnsi="宋体" w:cs="宋体"/>
                <w:b w:val="0"/>
                <w:bCs/>
                <w:color w:val="auto"/>
                <w:szCs w:val="21"/>
                <w:highlight w:val="none"/>
              </w:rPr>
            </w:pPr>
          </w:p>
        </w:tc>
      </w:tr>
      <w:tr w14:paraId="7F03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47">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p>
        </w:tc>
        <w:tc>
          <w:tcPr>
            <w:tcW w:w="1260" w:type="dxa"/>
          </w:tcPr>
          <w:p w14:paraId="7F034D48">
            <w:pPr>
              <w:spacing w:line="336" w:lineRule="auto"/>
              <w:rPr>
                <w:rFonts w:hint="eastAsia" w:ascii="宋体" w:hAnsi="宋体" w:cs="宋体"/>
                <w:b w:val="0"/>
                <w:bCs/>
                <w:color w:val="auto"/>
                <w:szCs w:val="21"/>
                <w:highlight w:val="none"/>
              </w:rPr>
            </w:pPr>
          </w:p>
        </w:tc>
        <w:tc>
          <w:tcPr>
            <w:tcW w:w="1675" w:type="dxa"/>
          </w:tcPr>
          <w:p w14:paraId="7F034D49">
            <w:pPr>
              <w:spacing w:line="336" w:lineRule="auto"/>
              <w:rPr>
                <w:rFonts w:hint="eastAsia" w:ascii="宋体" w:hAnsi="宋体" w:cs="宋体"/>
                <w:b w:val="0"/>
                <w:bCs/>
                <w:color w:val="auto"/>
                <w:szCs w:val="21"/>
                <w:highlight w:val="none"/>
              </w:rPr>
            </w:pPr>
          </w:p>
        </w:tc>
        <w:tc>
          <w:tcPr>
            <w:tcW w:w="1891" w:type="dxa"/>
          </w:tcPr>
          <w:p w14:paraId="7F034D4A">
            <w:pPr>
              <w:spacing w:line="336" w:lineRule="auto"/>
              <w:rPr>
                <w:rFonts w:hint="eastAsia" w:ascii="宋体" w:hAnsi="宋体" w:cs="宋体"/>
                <w:b w:val="0"/>
                <w:bCs/>
                <w:color w:val="auto"/>
                <w:szCs w:val="21"/>
                <w:highlight w:val="none"/>
              </w:rPr>
            </w:pPr>
          </w:p>
        </w:tc>
        <w:tc>
          <w:tcPr>
            <w:tcW w:w="1050" w:type="dxa"/>
          </w:tcPr>
          <w:p w14:paraId="7F034D4B">
            <w:pPr>
              <w:spacing w:line="336" w:lineRule="auto"/>
              <w:rPr>
                <w:rFonts w:hint="eastAsia" w:ascii="宋体" w:hAnsi="宋体" w:cs="宋体"/>
                <w:b w:val="0"/>
                <w:bCs/>
                <w:color w:val="auto"/>
                <w:szCs w:val="21"/>
                <w:highlight w:val="none"/>
              </w:rPr>
            </w:pPr>
          </w:p>
        </w:tc>
        <w:tc>
          <w:tcPr>
            <w:tcW w:w="1417" w:type="dxa"/>
          </w:tcPr>
          <w:p w14:paraId="7F034D4C">
            <w:pPr>
              <w:spacing w:line="336" w:lineRule="auto"/>
              <w:rPr>
                <w:rFonts w:hint="eastAsia" w:ascii="宋体" w:hAnsi="宋体" w:cs="宋体"/>
                <w:b w:val="0"/>
                <w:bCs/>
                <w:color w:val="auto"/>
                <w:szCs w:val="21"/>
                <w:highlight w:val="none"/>
              </w:rPr>
            </w:pPr>
          </w:p>
        </w:tc>
        <w:tc>
          <w:tcPr>
            <w:tcW w:w="1416" w:type="dxa"/>
          </w:tcPr>
          <w:p w14:paraId="7F034D4D">
            <w:pPr>
              <w:spacing w:line="336" w:lineRule="auto"/>
              <w:rPr>
                <w:rFonts w:hint="eastAsia" w:ascii="宋体" w:hAnsi="宋体" w:cs="宋体"/>
                <w:b w:val="0"/>
                <w:bCs/>
                <w:color w:val="auto"/>
                <w:szCs w:val="21"/>
                <w:highlight w:val="none"/>
              </w:rPr>
            </w:pPr>
          </w:p>
        </w:tc>
      </w:tr>
      <w:tr w14:paraId="7F03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4F">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p>
        </w:tc>
        <w:tc>
          <w:tcPr>
            <w:tcW w:w="1260" w:type="dxa"/>
          </w:tcPr>
          <w:p w14:paraId="7F034D50">
            <w:pPr>
              <w:spacing w:line="336" w:lineRule="auto"/>
              <w:rPr>
                <w:rFonts w:hint="eastAsia" w:ascii="宋体" w:hAnsi="宋体" w:cs="宋体"/>
                <w:b w:val="0"/>
                <w:bCs/>
                <w:color w:val="auto"/>
                <w:szCs w:val="21"/>
                <w:highlight w:val="none"/>
              </w:rPr>
            </w:pPr>
          </w:p>
        </w:tc>
        <w:tc>
          <w:tcPr>
            <w:tcW w:w="1675" w:type="dxa"/>
          </w:tcPr>
          <w:p w14:paraId="7F034D51">
            <w:pPr>
              <w:spacing w:line="336" w:lineRule="auto"/>
              <w:rPr>
                <w:rFonts w:hint="eastAsia" w:ascii="宋体" w:hAnsi="宋体" w:cs="宋体"/>
                <w:b w:val="0"/>
                <w:bCs/>
                <w:color w:val="auto"/>
                <w:szCs w:val="21"/>
                <w:highlight w:val="none"/>
              </w:rPr>
            </w:pPr>
          </w:p>
        </w:tc>
        <w:tc>
          <w:tcPr>
            <w:tcW w:w="1891" w:type="dxa"/>
          </w:tcPr>
          <w:p w14:paraId="7F034D52">
            <w:pPr>
              <w:spacing w:line="336" w:lineRule="auto"/>
              <w:rPr>
                <w:rFonts w:hint="eastAsia" w:ascii="宋体" w:hAnsi="宋体" w:cs="宋体"/>
                <w:b w:val="0"/>
                <w:bCs/>
                <w:color w:val="auto"/>
                <w:szCs w:val="21"/>
                <w:highlight w:val="none"/>
              </w:rPr>
            </w:pPr>
          </w:p>
        </w:tc>
        <w:tc>
          <w:tcPr>
            <w:tcW w:w="1050" w:type="dxa"/>
          </w:tcPr>
          <w:p w14:paraId="7F034D53">
            <w:pPr>
              <w:spacing w:line="336" w:lineRule="auto"/>
              <w:rPr>
                <w:rFonts w:hint="eastAsia" w:ascii="宋体" w:hAnsi="宋体" w:cs="宋体"/>
                <w:b w:val="0"/>
                <w:bCs/>
                <w:color w:val="auto"/>
                <w:szCs w:val="21"/>
                <w:highlight w:val="none"/>
              </w:rPr>
            </w:pPr>
          </w:p>
        </w:tc>
        <w:tc>
          <w:tcPr>
            <w:tcW w:w="1417" w:type="dxa"/>
          </w:tcPr>
          <w:p w14:paraId="7F034D54">
            <w:pPr>
              <w:spacing w:line="336" w:lineRule="auto"/>
              <w:rPr>
                <w:rFonts w:hint="eastAsia" w:ascii="宋体" w:hAnsi="宋体" w:cs="宋体"/>
                <w:b w:val="0"/>
                <w:bCs/>
                <w:color w:val="auto"/>
                <w:szCs w:val="21"/>
                <w:highlight w:val="none"/>
              </w:rPr>
            </w:pPr>
          </w:p>
        </w:tc>
        <w:tc>
          <w:tcPr>
            <w:tcW w:w="1416" w:type="dxa"/>
          </w:tcPr>
          <w:p w14:paraId="7F034D55">
            <w:pPr>
              <w:spacing w:line="336" w:lineRule="auto"/>
              <w:rPr>
                <w:rFonts w:hint="eastAsia" w:ascii="宋体" w:hAnsi="宋体" w:cs="宋体"/>
                <w:b w:val="0"/>
                <w:bCs/>
                <w:color w:val="auto"/>
                <w:szCs w:val="21"/>
                <w:highlight w:val="none"/>
              </w:rPr>
            </w:pPr>
          </w:p>
        </w:tc>
      </w:tr>
    </w:tbl>
    <w:p w14:paraId="7F034D57">
      <w:pPr>
        <w:rPr>
          <w:rFonts w:ascii="宋体" w:hAnsi="宋体" w:cs="宋体"/>
          <w:b w:val="0"/>
          <w:bCs/>
          <w:color w:val="auto"/>
          <w:highlight w:val="none"/>
        </w:rPr>
      </w:pPr>
    </w:p>
    <w:bookmarkEnd w:id="1002"/>
    <w:p w14:paraId="7F034D58">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D59">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（签名或盖章） </w:t>
      </w:r>
    </w:p>
    <w:p w14:paraId="7F034D5A">
      <w:pPr>
        <w:tabs>
          <w:tab w:val="left" w:pos="631"/>
          <w:tab w:val="left" w:pos="1471"/>
          <w:tab w:val="left" w:pos="2311"/>
        </w:tabs>
        <w:autoSpaceDE w:val="0"/>
        <w:autoSpaceDN w:val="0"/>
        <w:spacing w:before="37"/>
        <w:ind w:right="597"/>
        <w:jc w:val="right"/>
        <w:rPr>
          <w:rFonts w:hint="eastAsia" w:ascii="宋体" w:hAnsi="宋体" w:cs="宋体"/>
          <w:b w:val="0"/>
          <w:bCs/>
          <w:color w:val="auto"/>
          <w:kern w:val="0"/>
          <w:szCs w:val="21"/>
          <w:highlight w:val="none"/>
        </w:rPr>
      </w:pPr>
      <w:r>
        <w:rPr>
          <w:rFonts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w:t>
      </w:r>
    </w:p>
    <w:p w14:paraId="7F034D5B">
      <w:pPr>
        <w:pStyle w:val="45"/>
        <w:rPr>
          <w:rFonts w:hint="eastAsia" w:ascii="宋体" w:hAnsi="宋体" w:cs="宋体"/>
          <w:b w:val="0"/>
          <w:bCs/>
          <w:color w:val="auto"/>
          <w:kern w:val="0"/>
          <w:szCs w:val="21"/>
          <w:highlight w:val="none"/>
        </w:rPr>
      </w:pPr>
    </w:p>
    <w:p w14:paraId="7F034D5C">
      <w:pPr>
        <w:rPr>
          <w:rFonts w:ascii="宋体" w:hAnsi="宋体" w:cs="宋体"/>
          <w:b w:val="0"/>
          <w:bCs/>
          <w:color w:val="auto"/>
          <w:highlight w:val="none"/>
        </w:rPr>
      </w:pPr>
      <w:r>
        <w:rPr>
          <w:rFonts w:ascii="宋体" w:hAnsi="宋体" w:cs="宋体"/>
          <w:b w:val="0"/>
          <w:bCs/>
          <w:color w:val="auto"/>
          <w:highlight w:val="none"/>
        </w:rPr>
        <w:br w:type="page"/>
      </w:r>
    </w:p>
    <w:p w14:paraId="7F034D5D">
      <w:pPr>
        <w:pStyle w:val="332"/>
        <w:tabs>
          <w:tab w:val="left" w:pos="805"/>
        </w:tabs>
        <w:spacing w:before="151"/>
        <w:ind w:left="540" w:firstLine="0"/>
        <w:jc w:val="left"/>
        <w:rPr>
          <w:rFonts w:hint="eastAsia"/>
          <w:b w:val="0"/>
          <w:bCs/>
          <w:color w:val="auto"/>
          <w:spacing w:val="-3"/>
          <w:szCs w:val="21"/>
          <w:highlight w:val="none"/>
        </w:rPr>
      </w:pPr>
      <w:r>
        <w:rPr>
          <w:rFonts w:hint="eastAsia"/>
          <w:b w:val="0"/>
          <w:bCs/>
          <w:color w:val="auto"/>
          <w:szCs w:val="21"/>
          <w:highlight w:val="none"/>
        </w:rPr>
        <w:t>□</w:t>
      </w:r>
      <w:r>
        <w:rPr>
          <w:rFonts w:hint="eastAsia"/>
          <w:b w:val="0"/>
          <w:bCs/>
          <w:color w:val="auto"/>
          <w:spacing w:val="-3"/>
          <w:szCs w:val="21"/>
          <w:highlight w:val="none"/>
        </w:rPr>
        <w:t>4. 专用工具清单及报价表（含入投标总价）</w:t>
      </w:r>
    </w:p>
    <w:p w14:paraId="7F034D5E">
      <w:pPr>
        <w:spacing w:line="360" w:lineRule="auto"/>
        <w:ind w:firstLine="7350" w:firstLineChars="3500"/>
        <w:rPr>
          <w:rFonts w:ascii="宋体" w:hAnsi="宋体" w:cs="宋体"/>
          <w:b w:val="0"/>
          <w:bCs/>
          <w:color w:val="auto"/>
          <w:highlight w:val="none"/>
        </w:rPr>
      </w:pPr>
      <w:r>
        <w:rPr>
          <w:rFonts w:hint="eastAsia" w:ascii="宋体" w:hAnsi="宋体" w:cs="宋体"/>
          <w:b w:val="0"/>
          <w:bCs/>
          <w:color w:val="auto"/>
          <w:szCs w:val="21"/>
          <w:highlight w:val="none"/>
        </w:rPr>
        <w:t>单位：人民币元</w:t>
      </w:r>
    </w:p>
    <w:tbl>
      <w:tblPr>
        <w:tblStyle w:val="46"/>
        <w:tblW w:w="9333"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7F03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24" w:type="dxa"/>
            <w:vAlign w:val="center"/>
          </w:tcPr>
          <w:p w14:paraId="7F034D5F">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序号</w:t>
            </w:r>
          </w:p>
        </w:tc>
        <w:tc>
          <w:tcPr>
            <w:tcW w:w="1260" w:type="dxa"/>
            <w:vAlign w:val="center"/>
          </w:tcPr>
          <w:p w14:paraId="7F034D60">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名称</w:t>
            </w:r>
          </w:p>
        </w:tc>
        <w:tc>
          <w:tcPr>
            <w:tcW w:w="1675" w:type="dxa"/>
            <w:vAlign w:val="center"/>
          </w:tcPr>
          <w:p w14:paraId="7F034D61">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规格和型号</w:t>
            </w:r>
          </w:p>
        </w:tc>
        <w:tc>
          <w:tcPr>
            <w:tcW w:w="1891" w:type="dxa"/>
            <w:vAlign w:val="center"/>
          </w:tcPr>
          <w:p w14:paraId="7F034D62">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品牌或制造厂名称</w:t>
            </w:r>
          </w:p>
        </w:tc>
        <w:tc>
          <w:tcPr>
            <w:tcW w:w="1050" w:type="dxa"/>
            <w:vAlign w:val="center"/>
          </w:tcPr>
          <w:p w14:paraId="7F034D63">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数量</w:t>
            </w:r>
          </w:p>
        </w:tc>
        <w:tc>
          <w:tcPr>
            <w:tcW w:w="1417" w:type="dxa"/>
            <w:vAlign w:val="center"/>
          </w:tcPr>
          <w:p w14:paraId="7F034D64">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单价</w:t>
            </w:r>
          </w:p>
        </w:tc>
        <w:tc>
          <w:tcPr>
            <w:tcW w:w="1416" w:type="dxa"/>
            <w:vAlign w:val="center"/>
          </w:tcPr>
          <w:p w14:paraId="7F034D65">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合价</w:t>
            </w:r>
          </w:p>
        </w:tc>
      </w:tr>
      <w:tr w14:paraId="7F03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67">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p>
        </w:tc>
        <w:tc>
          <w:tcPr>
            <w:tcW w:w="1260" w:type="dxa"/>
          </w:tcPr>
          <w:p w14:paraId="7F034D68">
            <w:pPr>
              <w:spacing w:line="336" w:lineRule="auto"/>
              <w:rPr>
                <w:rFonts w:hint="eastAsia" w:ascii="宋体" w:hAnsi="宋体" w:cs="宋体"/>
                <w:b w:val="0"/>
                <w:bCs/>
                <w:color w:val="auto"/>
                <w:szCs w:val="21"/>
                <w:highlight w:val="none"/>
              </w:rPr>
            </w:pPr>
          </w:p>
        </w:tc>
        <w:tc>
          <w:tcPr>
            <w:tcW w:w="1675" w:type="dxa"/>
          </w:tcPr>
          <w:p w14:paraId="7F034D69">
            <w:pPr>
              <w:spacing w:line="336" w:lineRule="auto"/>
              <w:rPr>
                <w:rFonts w:hint="eastAsia" w:ascii="宋体" w:hAnsi="宋体" w:cs="宋体"/>
                <w:b w:val="0"/>
                <w:bCs/>
                <w:color w:val="auto"/>
                <w:szCs w:val="21"/>
                <w:highlight w:val="none"/>
              </w:rPr>
            </w:pPr>
          </w:p>
        </w:tc>
        <w:tc>
          <w:tcPr>
            <w:tcW w:w="1891" w:type="dxa"/>
          </w:tcPr>
          <w:p w14:paraId="7F034D6A">
            <w:pPr>
              <w:spacing w:line="336" w:lineRule="auto"/>
              <w:rPr>
                <w:rFonts w:hint="eastAsia" w:ascii="宋体" w:hAnsi="宋体" w:cs="宋体"/>
                <w:b w:val="0"/>
                <w:bCs/>
                <w:color w:val="auto"/>
                <w:szCs w:val="21"/>
                <w:highlight w:val="none"/>
              </w:rPr>
            </w:pPr>
          </w:p>
        </w:tc>
        <w:tc>
          <w:tcPr>
            <w:tcW w:w="1050" w:type="dxa"/>
          </w:tcPr>
          <w:p w14:paraId="7F034D6B">
            <w:pPr>
              <w:spacing w:line="336" w:lineRule="auto"/>
              <w:rPr>
                <w:rFonts w:hint="eastAsia" w:ascii="宋体" w:hAnsi="宋体" w:cs="宋体"/>
                <w:b w:val="0"/>
                <w:bCs/>
                <w:color w:val="auto"/>
                <w:szCs w:val="21"/>
                <w:highlight w:val="none"/>
              </w:rPr>
            </w:pPr>
          </w:p>
        </w:tc>
        <w:tc>
          <w:tcPr>
            <w:tcW w:w="1417" w:type="dxa"/>
          </w:tcPr>
          <w:p w14:paraId="7F034D6C">
            <w:pPr>
              <w:spacing w:line="336" w:lineRule="auto"/>
              <w:rPr>
                <w:rFonts w:hint="eastAsia" w:ascii="宋体" w:hAnsi="宋体" w:cs="宋体"/>
                <w:b w:val="0"/>
                <w:bCs/>
                <w:color w:val="auto"/>
                <w:szCs w:val="21"/>
                <w:highlight w:val="none"/>
              </w:rPr>
            </w:pPr>
          </w:p>
        </w:tc>
        <w:tc>
          <w:tcPr>
            <w:tcW w:w="1416" w:type="dxa"/>
          </w:tcPr>
          <w:p w14:paraId="7F034D6D">
            <w:pPr>
              <w:spacing w:line="336" w:lineRule="auto"/>
              <w:rPr>
                <w:rFonts w:hint="eastAsia" w:ascii="宋体" w:hAnsi="宋体" w:cs="宋体"/>
                <w:b w:val="0"/>
                <w:bCs/>
                <w:color w:val="auto"/>
                <w:szCs w:val="21"/>
                <w:highlight w:val="none"/>
              </w:rPr>
            </w:pPr>
          </w:p>
        </w:tc>
      </w:tr>
      <w:tr w14:paraId="7F03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6F">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p>
        </w:tc>
        <w:tc>
          <w:tcPr>
            <w:tcW w:w="1260" w:type="dxa"/>
          </w:tcPr>
          <w:p w14:paraId="7F034D70">
            <w:pPr>
              <w:spacing w:line="336" w:lineRule="auto"/>
              <w:rPr>
                <w:rFonts w:hint="eastAsia" w:ascii="宋体" w:hAnsi="宋体" w:cs="宋体"/>
                <w:b w:val="0"/>
                <w:bCs/>
                <w:color w:val="auto"/>
                <w:szCs w:val="21"/>
                <w:highlight w:val="none"/>
              </w:rPr>
            </w:pPr>
          </w:p>
        </w:tc>
        <w:tc>
          <w:tcPr>
            <w:tcW w:w="1675" w:type="dxa"/>
          </w:tcPr>
          <w:p w14:paraId="7F034D71">
            <w:pPr>
              <w:spacing w:line="336" w:lineRule="auto"/>
              <w:rPr>
                <w:rFonts w:hint="eastAsia" w:ascii="宋体" w:hAnsi="宋体" w:cs="宋体"/>
                <w:b w:val="0"/>
                <w:bCs/>
                <w:color w:val="auto"/>
                <w:szCs w:val="21"/>
                <w:highlight w:val="none"/>
              </w:rPr>
            </w:pPr>
          </w:p>
        </w:tc>
        <w:tc>
          <w:tcPr>
            <w:tcW w:w="1891" w:type="dxa"/>
          </w:tcPr>
          <w:p w14:paraId="7F034D72">
            <w:pPr>
              <w:spacing w:line="336" w:lineRule="auto"/>
              <w:rPr>
                <w:rFonts w:hint="eastAsia" w:ascii="宋体" w:hAnsi="宋体" w:cs="宋体"/>
                <w:b w:val="0"/>
                <w:bCs/>
                <w:color w:val="auto"/>
                <w:szCs w:val="21"/>
                <w:highlight w:val="none"/>
              </w:rPr>
            </w:pPr>
          </w:p>
        </w:tc>
        <w:tc>
          <w:tcPr>
            <w:tcW w:w="1050" w:type="dxa"/>
          </w:tcPr>
          <w:p w14:paraId="7F034D73">
            <w:pPr>
              <w:spacing w:line="336" w:lineRule="auto"/>
              <w:rPr>
                <w:rFonts w:hint="eastAsia" w:ascii="宋体" w:hAnsi="宋体" w:cs="宋体"/>
                <w:b w:val="0"/>
                <w:bCs/>
                <w:color w:val="auto"/>
                <w:szCs w:val="21"/>
                <w:highlight w:val="none"/>
              </w:rPr>
            </w:pPr>
          </w:p>
        </w:tc>
        <w:tc>
          <w:tcPr>
            <w:tcW w:w="1417" w:type="dxa"/>
          </w:tcPr>
          <w:p w14:paraId="7F034D74">
            <w:pPr>
              <w:spacing w:line="336" w:lineRule="auto"/>
              <w:rPr>
                <w:rFonts w:hint="eastAsia" w:ascii="宋体" w:hAnsi="宋体" w:cs="宋体"/>
                <w:b w:val="0"/>
                <w:bCs/>
                <w:color w:val="auto"/>
                <w:szCs w:val="21"/>
                <w:highlight w:val="none"/>
              </w:rPr>
            </w:pPr>
          </w:p>
        </w:tc>
        <w:tc>
          <w:tcPr>
            <w:tcW w:w="1416" w:type="dxa"/>
          </w:tcPr>
          <w:p w14:paraId="7F034D75">
            <w:pPr>
              <w:spacing w:line="336" w:lineRule="auto"/>
              <w:rPr>
                <w:rFonts w:hint="eastAsia" w:ascii="宋体" w:hAnsi="宋体" w:cs="宋体"/>
                <w:b w:val="0"/>
                <w:bCs/>
                <w:color w:val="auto"/>
                <w:szCs w:val="21"/>
                <w:highlight w:val="none"/>
              </w:rPr>
            </w:pPr>
          </w:p>
        </w:tc>
      </w:tr>
      <w:tr w14:paraId="7F03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77">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p>
        </w:tc>
        <w:tc>
          <w:tcPr>
            <w:tcW w:w="1260" w:type="dxa"/>
          </w:tcPr>
          <w:p w14:paraId="7F034D78">
            <w:pPr>
              <w:spacing w:line="336" w:lineRule="auto"/>
              <w:rPr>
                <w:rFonts w:hint="eastAsia" w:ascii="宋体" w:hAnsi="宋体" w:cs="宋体"/>
                <w:b w:val="0"/>
                <w:bCs/>
                <w:color w:val="auto"/>
                <w:szCs w:val="21"/>
                <w:highlight w:val="none"/>
              </w:rPr>
            </w:pPr>
          </w:p>
        </w:tc>
        <w:tc>
          <w:tcPr>
            <w:tcW w:w="1675" w:type="dxa"/>
          </w:tcPr>
          <w:p w14:paraId="7F034D79">
            <w:pPr>
              <w:spacing w:line="336" w:lineRule="auto"/>
              <w:rPr>
                <w:rFonts w:hint="eastAsia" w:ascii="宋体" w:hAnsi="宋体" w:cs="宋体"/>
                <w:b w:val="0"/>
                <w:bCs/>
                <w:color w:val="auto"/>
                <w:szCs w:val="21"/>
                <w:highlight w:val="none"/>
              </w:rPr>
            </w:pPr>
          </w:p>
        </w:tc>
        <w:tc>
          <w:tcPr>
            <w:tcW w:w="1891" w:type="dxa"/>
          </w:tcPr>
          <w:p w14:paraId="7F034D7A">
            <w:pPr>
              <w:spacing w:line="336" w:lineRule="auto"/>
              <w:rPr>
                <w:rFonts w:hint="eastAsia" w:ascii="宋体" w:hAnsi="宋体" w:cs="宋体"/>
                <w:b w:val="0"/>
                <w:bCs/>
                <w:color w:val="auto"/>
                <w:szCs w:val="21"/>
                <w:highlight w:val="none"/>
              </w:rPr>
            </w:pPr>
          </w:p>
        </w:tc>
        <w:tc>
          <w:tcPr>
            <w:tcW w:w="1050" w:type="dxa"/>
          </w:tcPr>
          <w:p w14:paraId="7F034D7B">
            <w:pPr>
              <w:spacing w:line="336" w:lineRule="auto"/>
              <w:rPr>
                <w:rFonts w:hint="eastAsia" w:ascii="宋体" w:hAnsi="宋体" w:cs="宋体"/>
                <w:b w:val="0"/>
                <w:bCs/>
                <w:color w:val="auto"/>
                <w:szCs w:val="21"/>
                <w:highlight w:val="none"/>
              </w:rPr>
            </w:pPr>
          </w:p>
        </w:tc>
        <w:tc>
          <w:tcPr>
            <w:tcW w:w="1417" w:type="dxa"/>
          </w:tcPr>
          <w:p w14:paraId="7F034D7C">
            <w:pPr>
              <w:spacing w:line="336" w:lineRule="auto"/>
              <w:rPr>
                <w:rFonts w:hint="eastAsia" w:ascii="宋体" w:hAnsi="宋体" w:cs="宋体"/>
                <w:b w:val="0"/>
                <w:bCs/>
                <w:color w:val="auto"/>
                <w:szCs w:val="21"/>
                <w:highlight w:val="none"/>
              </w:rPr>
            </w:pPr>
          </w:p>
        </w:tc>
        <w:tc>
          <w:tcPr>
            <w:tcW w:w="1416" w:type="dxa"/>
          </w:tcPr>
          <w:p w14:paraId="7F034D7D">
            <w:pPr>
              <w:spacing w:line="336" w:lineRule="auto"/>
              <w:rPr>
                <w:rFonts w:hint="eastAsia" w:ascii="宋体" w:hAnsi="宋体" w:cs="宋体"/>
                <w:b w:val="0"/>
                <w:bCs/>
                <w:color w:val="auto"/>
                <w:szCs w:val="21"/>
                <w:highlight w:val="none"/>
              </w:rPr>
            </w:pPr>
          </w:p>
        </w:tc>
      </w:tr>
      <w:tr w14:paraId="7F034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7F">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p>
        </w:tc>
        <w:tc>
          <w:tcPr>
            <w:tcW w:w="1260" w:type="dxa"/>
          </w:tcPr>
          <w:p w14:paraId="7F034D80">
            <w:pPr>
              <w:spacing w:line="336" w:lineRule="auto"/>
              <w:rPr>
                <w:rFonts w:hint="eastAsia" w:ascii="宋体" w:hAnsi="宋体" w:cs="宋体"/>
                <w:b w:val="0"/>
                <w:bCs/>
                <w:color w:val="auto"/>
                <w:szCs w:val="21"/>
                <w:highlight w:val="none"/>
              </w:rPr>
            </w:pPr>
          </w:p>
        </w:tc>
        <w:tc>
          <w:tcPr>
            <w:tcW w:w="1675" w:type="dxa"/>
          </w:tcPr>
          <w:p w14:paraId="7F034D81">
            <w:pPr>
              <w:spacing w:line="336" w:lineRule="auto"/>
              <w:rPr>
                <w:rFonts w:hint="eastAsia" w:ascii="宋体" w:hAnsi="宋体" w:cs="宋体"/>
                <w:b w:val="0"/>
                <w:bCs/>
                <w:color w:val="auto"/>
                <w:szCs w:val="21"/>
                <w:highlight w:val="none"/>
              </w:rPr>
            </w:pPr>
          </w:p>
        </w:tc>
        <w:tc>
          <w:tcPr>
            <w:tcW w:w="1891" w:type="dxa"/>
          </w:tcPr>
          <w:p w14:paraId="7F034D82">
            <w:pPr>
              <w:spacing w:line="336" w:lineRule="auto"/>
              <w:rPr>
                <w:rFonts w:hint="eastAsia" w:ascii="宋体" w:hAnsi="宋体" w:cs="宋体"/>
                <w:b w:val="0"/>
                <w:bCs/>
                <w:color w:val="auto"/>
                <w:szCs w:val="21"/>
                <w:highlight w:val="none"/>
              </w:rPr>
            </w:pPr>
          </w:p>
        </w:tc>
        <w:tc>
          <w:tcPr>
            <w:tcW w:w="1050" w:type="dxa"/>
          </w:tcPr>
          <w:p w14:paraId="7F034D83">
            <w:pPr>
              <w:spacing w:line="336" w:lineRule="auto"/>
              <w:rPr>
                <w:rFonts w:hint="eastAsia" w:ascii="宋体" w:hAnsi="宋体" w:cs="宋体"/>
                <w:b w:val="0"/>
                <w:bCs/>
                <w:color w:val="auto"/>
                <w:szCs w:val="21"/>
                <w:highlight w:val="none"/>
              </w:rPr>
            </w:pPr>
          </w:p>
        </w:tc>
        <w:tc>
          <w:tcPr>
            <w:tcW w:w="1417" w:type="dxa"/>
          </w:tcPr>
          <w:p w14:paraId="7F034D84">
            <w:pPr>
              <w:spacing w:line="336" w:lineRule="auto"/>
              <w:rPr>
                <w:rFonts w:hint="eastAsia" w:ascii="宋体" w:hAnsi="宋体" w:cs="宋体"/>
                <w:b w:val="0"/>
                <w:bCs/>
                <w:color w:val="auto"/>
                <w:szCs w:val="21"/>
                <w:highlight w:val="none"/>
              </w:rPr>
            </w:pPr>
          </w:p>
        </w:tc>
        <w:tc>
          <w:tcPr>
            <w:tcW w:w="1416" w:type="dxa"/>
          </w:tcPr>
          <w:p w14:paraId="7F034D85">
            <w:pPr>
              <w:spacing w:line="336" w:lineRule="auto"/>
              <w:rPr>
                <w:rFonts w:hint="eastAsia" w:ascii="宋体" w:hAnsi="宋体" w:cs="宋体"/>
                <w:b w:val="0"/>
                <w:bCs/>
                <w:color w:val="auto"/>
                <w:szCs w:val="21"/>
                <w:highlight w:val="none"/>
              </w:rPr>
            </w:pPr>
          </w:p>
        </w:tc>
      </w:tr>
    </w:tbl>
    <w:p w14:paraId="7F034D87">
      <w:pPr>
        <w:rPr>
          <w:rFonts w:ascii="宋体" w:hAnsi="宋体" w:cs="宋体"/>
          <w:b w:val="0"/>
          <w:bCs/>
          <w:color w:val="auto"/>
          <w:highlight w:val="none"/>
        </w:rPr>
      </w:pPr>
    </w:p>
    <w:p w14:paraId="7F034D88">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D89">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（签名或盖章） </w:t>
      </w:r>
    </w:p>
    <w:p w14:paraId="7F034D8A">
      <w:pPr>
        <w:tabs>
          <w:tab w:val="left" w:pos="631"/>
          <w:tab w:val="left" w:pos="1471"/>
          <w:tab w:val="left" w:pos="2311"/>
        </w:tabs>
        <w:autoSpaceDE w:val="0"/>
        <w:autoSpaceDN w:val="0"/>
        <w:spacing w:before="37"/>
        <w:ind w:right="597"/>
        <w:jc w:val="right"/>
        <w:rPr>
          <w:rFonts w:hint="eastAsia" w:ascii="宋体" w:hAnsi="宋体" w:cs="宋体"/>
          <w:b w:val="0"/>
          <w:bCs/>
          <w:color w:val="auto"/>
          <w:kern w:val="0"/>
          <w:szCs w:val="21"/>
          <w:highlight w:val="none"/>
        </w:rPr>
      </w:pPr>
      <w:r>
        <w:rPr>
          <w:rFonts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w:t>
      </w:r>
    </w:p>
    <w:p w14:paraId="7F034D8B">
      <w:pPr>
        <w:pStyle w:val="332"/>
        <w:tabs>
          <w:tab w:val="left" w:pos="805"/>
        </w:tabs>
        <w:spacing w:before="151"/>
        <w:ind w:left="540" w:firstLine="0"/>
        <w:jc w:val="left"/>
        <w:rPr>
          <w:rFonts w:hint="eastAsia"/>
          <w:b w:val="0"/>
          <w:bCs/>
          <w:color w:val="auto"/>
          <w:spacing w:val="-3"/>
          <w:szCs w:val="21"/>
          <w:highlight w:val="none"/>
        </w:rPr>
      </w:pPr>
    </w:p>
    <w:p w14:paraId="7F034D8C">
      <w:pPr>
        <w:pStyle w:val="332"/>
        <w:tabs>
          <w:tab w:val="left" w:pos="805"/>
        </w:tabs>
        <w:spacing w:before="151"/>
        <w:ind w:left="540" w:firstLine="0"/>
        <w:jc w:val="left"/>
        <w:rPr>
          <w:rFonts w:hint="eastAsia"/>
          <w:b w:val="0"/>
          <w:bCs/>
          <w:color w:val="auto"/>
          <w:spacing w:val="-3"/>
          <w:szCs w:val="21"/>
          <w:highlight w:val="none"/>
        </w:rPr>
      </w:pPr>
      <w:r>
        <w:rPr>
          <w:rFonts w:hint="eastAsia"/>
          <w:b w:val="0"/>
          <w:bCs/>
          <w:color w:val="auto"/>
          <w:szCs w:val="21"/>
          <w:highlight w:val="none"/>
        </w:rPr>
        <w:t>□</w:t>
      </w:r>
      <w:r>
        <w:rPr>
          <w:rFonts w:hint="eastAsia"/>
          <w:b w:val="0"/>
          <w:bCs/>
          <w:color w:val="auto"/>
          <w:spacing w:val="-3"/>
          <w:szCs w:val="21"/>
          <w:highlight w:val="none"/>
        </w:rPr>
        <w:t>5. 货物质量保证期内的备品备件清单及报价表（含入投标总价）</w:t>
      </w:r>
    </w:p>
    <w:p w14:paraId="7F034D8D">
      <w:pPr>
        <w:spacing w:line="360" w:lineRule="auto"/>
        <w:ind w:firstLine="7350" w:firstLineChars="3500"/>
        <w:rPr>
          <w:rFonts w:ascii="宋体" w:hAnsi="宋体" w:cs="宋体"/>
          <w:b w:val="0"/>
          <w:bCs/>
          <w:color w:val="auto"/>
          <w:highlight w:val="none"/>
        </w:rPr>
      </w:pPr>
      <w:r>
        <w:rPr>
          <w:rFonts w:hint="eastAsia" w:ascii="宋体" w:hAnsi="宋体" w:cs="宋体"/>
          <w:b w:val="0"/>
          <w:bCs/>
          <w:color w:val="auto"/>
          <w:szCs w:val="21"/>
          <w:highlight w:val="none"/>
        </w:rPr>
        <w:t>单位：人民币元</w:t>
      </w:r>
    </w:p>
    <w:tbl>
      <w:tblPr>
        <w:tblStyle w:val="46"/>
        <w:tblW w:w="9333"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7F03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24" w:type="dxa"/>
            <w:vAlign w:val="center"/>
          </w:tcPr>
          <w:p w14:paraId="7F034D8E">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序号</w:t>
            </w:r>
          </w:p>
        </w:tc>
        <w:tc>
          <w:tcPr>
            <w:tcW w:w="1260" w:type="dxa"/>
            <w:vAlign w:val="center"/>
          </w:tcPr>
          <w:p w14:paraId="7F034D8F">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名称</w:t>
            </w:r>
          </w:p>
        </w:tc>
        <w:tc>
          <w:tcPr>
            <w:tcW w:w="1675" w:type="dxa"/>
            <w:vAlign w:val="center"/>
          </w:tcPr>
          <w:p w14:paraId="7F034D90">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规格和型号</w:t>
            </w:r>
          </w:p>
        </w:tc>
        <w:tc>
          <w:tcPr>
            <w:tcW w:w="1891" w:type="dxa"/>
            <w:vAlign w:val="center"/>
          </w:tcPr>
          <w:p w14:paraId="7F034D91">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品牌或制造厂名称</w:t>
            </w:r>
          </w:p>
        </w:tc>
        <w:tc>
          <w:tcPr>
            <w:tcW w:w="1050" w:type="dxa"/>
            <w:vAlign w:val="center"/>
          </w:tcPr>
          <w:p w14:paraId="7F034D92">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数量</w:t>
            </w:r>
          </w:p>
        </w:tc>
        <w:tc>
          <w:tcPr>
            <w:tcW w:w="1417" w:type="dxa"/>
            <w:vAlign w:val="center"/>
          </w:tcPr>
          <w:p w14:paraId="7F034D93">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单价</w:t>
            </w:r>
          </w:p>
        </w:tc>
        <w:tc>
          <w:tcPr>
            <w:tcW w:w="1416" w:type="dxa"/>
            <w:vAlign w:val="center"/>
          </w:tcPr>
          <w:p w14:paraId="7F034D94">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合价</w:t>
            </w:r>
          </w:p>
        </w:tc>
      </w:tr>
      <w:tr w14:paraId="7F0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96">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p>
        </w:tc>
        <w:tc>
          <w:tcPr>
            <w:tcW w:w="1260" w:type="dxa"/>
          </w:tcPr>
          <w:p w14:paraId="7F034D97">
            <w:pPr>
              <w:spacing w:line="336" w:lineRule="auto"/>
              <w:rPr>
                <w:rFonts w:hint="eastAsia" w:ascii="宋体" w:hAnsi="宋体" w:cs="宋体"/>
                <w:b w:val="0"/>
                <w:bCs/>
                <w:color w:val="auto"/>
                <w:szCs w:val="21"/>
                <w:highlight w:val="none"/>
              </w:rPr>
            </w:pPr>
          </w:p>
        </w:tc>
        <w:tc>
          <w:tcPr>
            <w:tcW w:w="1675" w:type="dxa"/>
          </w:tcPr>
          <w:p w14:paraId="7F034D98">
            <w:pPr>
              <w:spacing w:line="336" w:lineRule="auto"/>
              <w:rPr>
                <w:rFonts w:hint="eastAsia" w:ascii="宋体" w:hAnsi="宋体" w:cs="宋体"/>
                <w:b w:val="0"/>
                <w:bCs/>
                <w:color w:val="auto"/>
                <w:szCs w:val="21"/>
                <w:highlight w:val="none"/>
              </w:rPr>
            </w:pPr>
          </w:p>
        </w:tc>
        <w:tc>
          <w:tcPr>
            <w:tcW w:w="1891" w:type="dxa"/>
          </w:tcPr>
          <w:p w14:paraId="7F034D99">
            <w:pPr>
              <w:spacing w:line="336" w:lineRule="auto"/>
              <w:rPr>
                <w:rFonts w:hint="eastAsia" w:ascii="宋体" w:hAnsi="宋体" w:cs="宋体"/>
                <w:b w:val="0"/>
                <w:bCs/>
                <w:color w:val="auto"/>
                <w:szCs w:val="21"/>
                <w:highlight w:val="none"/>
              </w:rPr>
            </w:pPr>
          </w:p>
        </w:tc>
        <w:tc>
          <w:tcPr>
            <w:tcW w:w="1050" w:type="dxa"/>
          </w:tcPr>
          <w:p w14:paraId="7F034D9A">
            <w:pPr>
              <w:spacing w:line="336" w:lineRule="auto"/>
              <w:rPr>
                <w:rFonts w:hint="eastAsia" w:ascii="宋体" w:hAnsi="宋体" w:cs="宋体"/>
                <w:b w:val="0"/>
                <w:bCs/>
                <w:color w:val="auto"/>
                <w:szCs w:val="21"/>
                <w:highlight w:val="none"/>
              </w:rPr>
            </w:pPr>
          </w:p>
        </w:tc>
        <w:tc>
          <w:tcPr>
            <w:tcW w:w="1417" w:type="dxa"/>
          </w:tcPr>
          <w:p w14:paraId="7F034D9B">
            <w:pPr>
              <w:spacing w:line="336" w:lineRule="auto"/>
              <w:rPr>
                <w:rFonts w:hint="eastAsia" w:ascii="宋体" w:hAnsi="宋体" w:cs="宋体"/>
                <w:b w:val="0"/>
                <w:bCs/>
                <w:color w:val="auto"/>
                <w:szCs w:val="21"/>
                <w:highlight w:val="none"/>
              </w:rPr>
            </w:pPr>
          </w:p>
        </w:tc>
        <w:tc>
          <w:tcPr>
            <w:tcW w:w="1416" w:type="dxa"/>
          </w:tcPr>
          <w:p w14:paraId="7F034D9C">
            <w:pPr>
              <w:spacing w:line="336" w:lineRule="auto"/>
              <w:rPr>
                <w:rFonts w:hint="eastAsia" w:ascii="宋体" w:hAnsi="宋体" w:cs="宋体"/>
                <w:b w:val="0"/>
                <w:bCs/>
                <w:color w:val="auto"/>
                <w:szCs w:val="21"/>
                <w:highlight w:val="none"/>
              </w:rPr>
            </w:pPr>
          </w:p>
        </w:tc>
      </w:tr>
      <w:tr w14:paraId="7F03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9E">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p>
        </w:tc>
        <w:tc>
          <w:tcPr>
            <w:tcW w:w="1260" w:type="dxa"/>
          </w:tcPr>
          <w:p w14:paraId="7F034D9F">
            <w:pPr>
              <w:spacing w:line="336" w:lineRule="auto"/>
              <w:rPr>
                <w:rFonts w:hint="eastAsia" w:ascii="宋体" w:hAnsi="宋体" w:cs="宋体"/>
                <w:b w:val="0"/>
                <w:bCs/>
                <w:color w:val="auto"/>
                <w:szCs w:val="21"/>
                <w:highlight w:val="none"/>
              </w:rPr>
            </w:pPr>
          </w:p>
        </w:tc>
        <w:tc>
          <w:tcPr>
            <w:tcW w:w="1675" w:type="dxa"/>
          </w:tcPr>
          <w:p w14:paraId="7F034DA0">
            <w:pPr>
              <w:spacing w:line="336" w:lineRule="auto"/>
              <w:rPr>
                <w:rFonts w:hint="eastAsia" w:ascii="宋体" w:hAnsi="宋体" w:cs="宋体"/>
                <w:b w:val="0"/>
                <w:bCs/>
                <w:color w:val="auto"/>
                <w:szCs w:val="21"/>
                <w:highlight w:val="none"/>
              </w:rPr>
            </w:pPr>
          </w:p>
        </w:tc>
        <w:tc>
          <w:tcPr>
            <w:tcW w:w="1891" w:type="dxa"/>
          </w:tcPr>
          <w:p w14:paraId="7F034DA1">
            <w:pPr>
              <w:spacing w:line="336" w:lineRule="auto"/>
              <w:rPr>
                <w:rFonts w:hint="eastAsia" w:ascii="宋体" w:hAnsi="宋体" w:cs="宋体"/>
                <w:b w:val="0"/>
                <w:bCs/>
                <w:color w:val="auto"/>
                <w:szCs w:val="21"/>
                <w:highlight w:val="none"/>
              </w:rPr>
            </w:pPr>
          </w:p>
        </w:tc>
        <w:tc>
          <w:tcPr>
            <w:tcW w:w="1050" w:type="dxa"/>
          </w:tcPr>
          <w:p w14:paraId="7F034DA2">
            <w:pPr>
              <w:spacing w:line="336" w:lineRule="auto"/>
              <w:rPr>
                <w:rFonts w:hint="eastAsia" w:ascii="宋体" w:hAnsi="宋体" w:cs="宋体"/>
                <w:b w:val="0"/>
                <w:bCs/>
                <w:color w:val="auto"/>
                <w:szCs w:val="21"/>
                <w:highlight w:val="none"/>
              </w:rPr>
            </w:pPr>
          </w:p>
        </w:tc>
        <w:tc>
          <w:tcPr>
            <w:tcW w:w="1417" w:type="dxa"/>
          </w:tcPr>
          <w:p w14:paraId="7F034DA3">
            <w:pPr>
              <w:spacing w:line="336" w:lineRule="auto"/>
              <w:rPr>
                <w:rFonts w:hint="eastAsia" w:ascii="宋体" w:hAnsi="宋体" w:cs="宋体"/>
                <w:b w:val="0"/>
                <w:bCs/>
                <w:color w:val="auto"/>
                <w:szCs w:val="21"/>
                <w:highlight w:val="none"/>
              </w:rPr>
            </w:pPr>
          </w:p>
        </w:tc>
        <w:tc>
          <w:tcPr>
            <w:tcW w:w="1416" w:type="dxa"/>
          </w:tcPr>
          <w:p w14:paraId="7F034DA4">
            <w:pPr>
              <w:spacing w:line="336" w:lineRule="auto"/>
              <w:rPr>
                <w:rFonts w:hint="eastAsia" w:ascii="宋体" w:hAnsi="宋体" w:cs="宋体"/>
                <w:b w:val="0"/>
                <w:bCs/>
                <w:color w:val="auto"/>
                <w:szCs w:val="21"/>
                <w:highlight w:val="none"/>
              </w:rPr>
            </w:pPr>
          </w:p>
        </w:tc>
      </w:tr>
      <w:tr w14:paraId="7F03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A6">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p>
        </w:tc>
        <w:tc>
          <w:tcPr>
            <w:tcW w:w="1260" w:type="dxa"/>
          </w:tcPr>
          <w:p w14:paraId="7F034DA7">
            <w:pPr>
              <w:spacing w:line="336" w:lineRule="auto"/>
              <w:rPr>
                <w:rFonts w:hint="eastAsia" w:ascii="宋体" w:hAnsi="宋体" w:cs="宋体"/>
                <w:b w:val="0"/>
                <w:bCs/>
                <w:color w:val="auto"/>
                <w:szCs w:val="21"/>
                <w:highlight w:val="none"/>
              </w:rPr>
            </w:pPr>
          </w:p>
        </w:tc>
        <w:tc>
          <w:tcPr>
            <w:tcW w:w="1675" w:type="dxa"/>
          </w:tcPr>
          <w:p w14:paraId="7F034DA8">
            <w:pPr>
              <w:spacing w:line="336" w:lineRule="auto"/>
              <w:rPr>
                <w:rFonts w:hint="eastAsia" w:ascii="宋体" w:hAnsi="宋体" w:cs="宋体"/>
                <w:b w:val="0"/>
                <w:bCs/>
                <w:color w:val="auto"/>
                <w:szCs w:val="21"/>
                <w:highlight w:val="none"/>
              </w:rPr>
            </w:pPr>
          </w:p>
        </w:tc>
        <w:tc>
          <w:tcPr>
            <w:tcW w:w="1891" w:type="dxa"/>
          </w:tcPr>
          <w:p w14:paraId="7F034DA9">
            <w:pPr>
              <w:spacing w:line="336" w:lineRule="auto"/>
              <w:rPr>
                <w:rFonts w:hint="eastAsia" w:ascii="宋体" w:hAnsi="宋体" w:cs="宋体"/>
                <w:b w:val="0"/>
                <w:bCs/>
                <w:color w:val="auto"/>
                <w:szCs w:val="21"/>
                <w:highlight w:val="none"/>
              </w:rPr>
            </w:pPr>
          </w:p>
        </w:tc>
        <w:tc>
          <w:tcPr>
            <w:tcW w:w="1050" w:type="dxa"/>
          </w:tcPr>
          <w:p w14:paraId="7F034DAA">
            <w:pPr>
              <w:spacing w:line="336" w:lineRule="auto"/>
              <w:rPr>
                <w:rFonts w:hint="eastAsia" w:ascii="宋体" w:hAnsi="宋体" w:cs="宋体"/>
                <w:b w:val="0"/>
                <w:bCs/>
                <w:color w:val="auto"/>
                <w:szCs w:val="21"/>
                <w:highlight w:val="none"/>
              </w:rPr>
            </w:pPr>
          </w:p>
        </w:tc>
        <w:tc>
          <w:tcPr>
            <w:tcW w:w="1417" w:type="dxa"/>
          </w:tcPr>
          <w:p w14:paraId="7F034DAB">
            <w:pPr>
              <w:spacing w:line="336" w:lineRule="auto"/>
              <w:rPr>
                <w:rFonts w:hint="eastAsia" w:ascii="宋体" w:hAnsi="宋体" w:cs="宋体"/>
                <w:b w:val="0"/>
                <w:bCs/>
                <w:color w:val="auto"/>
                <w:szCs w:val="21"/>
                <w:highlight w:val="none"/>
              </w:rPr>
            </w:pPr>
          </w:p>
        </w:tc>
        <w:tc>
          <w:tcPr>
            <w:tcW w:w="1416" w:type="dxa"/>
          </w:tcPr>
          <w:p w14:paraId="7F034DAC">
            <w:pPr>
              <w:spacing w:line="336" w:lineRule="auto"/>
              <w:rPr>
                <w:rFonts w:hint="eastAsia" w:ascii="宋体" w:hAnsi="宋体" w:cs="宋体"/>
                <w:b w:val="0"/>
                <w:bCs/>
                <w:color w:val="auto"/>
                <w:szCs w:val="21"/>
                <w:highlight w:val="none"/>
              </w:rPr>
            </w:pPr>
          </w:p>
        </w:tc>
      </w:tr>
      <w:tr w14:paraId="7F03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AE">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p>
        </w:tc>
        <w:tc>
          <w:tcPr>
            <w:tcW w:w="1260" w:type="dxa"/>
          </w:tcPr>
          <w:p w14:paraId="7F034DAF">
            <w:pPr>
              <w:spacing w:line="336" w:lineRule="auto"/>
              <w:rPr>
                <w:rFonts w:hint="eastAsia" w:ascii="宋体" w:hAnsi="宋体" w:cs="宋体"/>
                <w:b w:val="0"/>
                <w:bCs/>
                <w:color w:val="auto"/>
                <w:szCs w:val="21"/>
                <w:highlight w:val="none"/>
              </w:rPr>
            </w:pPr>
          </w:p>
        </w:tc>
        <w:tc>
          <w:tcPr>
            <w:tcW w:w="1675" w:type="dxa"/>
          </w:tcPr>
          <w:p w14:paraId="7F034DB0">
            <w:pPr>
              <w:spacing w:line="336" w:lineRule="auto"/>
              <w:rPr>
                <w:rFonts w:hint="eastAsia" w:ascii="宋体" w:hAnsi="宋体" w:cs="宋体"/>
                <w:b w:val="0"/>
                <w:bCs/>
                <w:color w:val="auto"/>
                <w:szCs w:val="21"/>
                <w:highlight w:val="none"/>
              </w:rPr>
            </w:pPr>
          </w:p>
        </w:tc>
        <w:tc>
          <w:tcPr>
            <w:tcW w:w="1891" w:type="dxa"/>
          </w:tcPr>
          <w:p w14:paraId="7F034DB1">
            <w:pPr>
              <w:spacing w:line="336" w:lineRule="auto"/>
              <w:rPr>
                <w:rFonts w:hint="eastAsia" w:ascii="宋体" w:hAnsi="宋体" w:cs="宋体"/>
                <w:b w:val="0"/>
                <w:bCs/>
                <w:color w:val="auto"/>
                <w:szCs w:val="21"/>
                <w:highlight w:val="none"/>
              </w:rPr>
            </w:pPr>
          </w:p>
        </w:tc>
        <w:tc>
          <w:tcPr>
            <w:tcW w:w="1050" w:type="dxa"/>
          </w:tcPr>
          <w:p w14:paraId="7F034DB2">
            <w:pPr>
              <w:spacing w:line="336" w:lineRule="auto"/>
              <w:rPr>
                <w:rFonts w:hint="eastAsia" w:ascii="宋体" w:hAnsi="宋体" w:cs="宋体"/>
                <w:b w:val="0"/>
                <w:bCs/>
                <w:color w:val="auto"/>
                <w:szCs w:val="21"/>
                <w:highlight w:val="none"/>
              </w:rPr>
            </w:pPr>
          </w:p>
        </w:tc>
        <w:tc>
          <w:tcPr>
            <w:tcW w:w="1417" w:type="dxa"/>
          </w:tcPr>
          <w:p w14:paraId="7F034DB3">
            <w:pPr>
              <w:spacing w:line="336" w:lineRule="auto"/>
              <w:rPr>
                <w:rFonts w:hint="eastAsia" w:ascii="宋体" w:hAnsi="宋体" w:cs="宋体"/>
                <w:b w:val="0"/>
                <w:bCs/>
                <w:color w:val="auto"/>
                <w:szCs w:val="21"/>
                <w:highlight w:val="none"/>
              </w:rPr>
            </w:pPr>
          </w:p>
        </w:tc>
        <w:tc>
          <w:tcPr>
            <w:tcW w:w="1416" w:type="dxa"/>
          </w:tcPr>
          <w:p w14:paraId="7F034DB4">
            <w:pPr>
              <w:spacing w:line="336" w:lineRule="auto"/>
              <w:rPr>
                <w:rFonts w:hint="eastAsia" w:ascii="宋体" w:hAnsi="宋体" w:cs="宋体"/>
                <w:b w:val="0"/>
                <w:bCs/>
                <w:color w:val="auto"/>
                <w:szCs w:val="21"/>
                <w:highlight w:val="none"/>
              </w:rPr>
            </w:pPr>
          </w:p>
        </w:tc>
      </w:tr>
    </w:tbl>
    <w:p w14:paraId="7F034DB6">
      <w:pPr>
        <w:rPr>
          <w:rFonts w:ascii="宋体" w:hAnsi="宋体" w:cs="宋体"/>
          <w:b w:val="0"/>
          <w:bCs/>
          <w:color w:val="auto"/>
          <w:highlight w:val="none"/>
        </w:rPr>
      </w:pPr>
    </w:p>
    <w:p w14:paraId="7F034DB7">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DB8">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（签名或盖章） </w:t>
      </w:r>
    </w:p>
    <w:p w14:paraId="7F034DB9">
      <w:pPr>
        <w:tabs>
          <w:tab w:val="left" w:pos="631"/>
          <w:tab w:val="left" w:pos="1471"/>
          <w:tab w:val="left" w:pos="2311"/>
        </w:tabs>
        <w:autoSpaceDE w:val="0"/>
        <w:autoSpaceDN w:val="0"/>
        <w:spacing w:before="37"/>
        <w:ind w:right="597"/>
        <w:jc w:val="right"/>
        <w:rPr>
          <w:rFonts w:hint="eastAsia" w:ascii="宋体" w:hAnsi="宋体" w:cs="宋体"/>
          <w:b w:val="0"/>
          <w:bCs/>
          <w:color w:val="auto"/>
          <w:kern w:val="0"/>
          <w:szCs w:val="21"/>
          <w:highlight w:val="none"/>
        </w:rPr>
      </w:pPr>
      <w:r>
        <w:rPr>
          <w:rFonts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w:t>
      </w:r>
    </w:p>
    <w:p w14:paraId="7F034DBA">
      <w:pPr>
        <w:pStyle w:val="332"/>
        <w:tabs>
          <w:tab w:val="left" w:pos="805"/>
        </w:tabs>
        <w:spacing w:before="151"/>
        <w:ind w:left="540" w:firstLine="0"/>
        <w:jc w:val="left"/>
        <w:rPr>
          <w:rFonts w:hint="eastAsia"/>
          <w:b w:val="0"/>
          <w:bCs/>
          <w:color w:val="auto"/>
          <w:spacing w:val="-3"/>
          <w:szCs w:val="21"/>
          <w:highlight w:val="none"/>
        </w:rPr>
      </w:pPr>
    </w:p>
    <w:p w14:paraId="7F034DBB">
      <w:pPr>
        <w:pStyle w:val="332"/>
        <w:tabs>
          <w:tab w:val="left" w:pos="805"/>
        </w:tabs>
        <w:spacing w:before="151"/>
        <w:ind w:left="540" w:firstLine="0"/>
        <w:jc w:val="left"/>
        <w:rPr>
          <w:rFonts w:hint="eastAsia"/>
          <w:b w:val="0"/>
          <w:bCs/>
          <w:color w:val="auto"/>
          <w:spacing w:val="-3"/>
          <w:szCs w:val="21"/>
          <w:highlight w:val="none"/>
        </w:rPr>
      </w:pPr>
      <w:r>
        <w:rPr>
          <w:rFonts w:hint="eastAsia"/>
          <w:b w:val="0"/>
          <w:bCs/>
          <w:color w:val="auto"/>
          <w:szCs w:val="21"/>
          <w:highlight w:val="none"/>
        </w:rPr>
        <w:t>□</w:t>
      </w:r>
      <w:r>
        <w:rPr>
          <w:rFonts w:hint="eastAsia"/>
          <w:b w:val="0"/>
          <w:bCs/>
          <w:color w:val="auto"/>
          <w:spacing w:val="-3"/>
          <w:szCs w:val="21"/>
          <w:highlight w:val="none"/>
        </w:rPr>
        <w:t>6. 货物质量保证期外的备品备件清单及报价表（不含入投标总价）</w:t>
      </w:r>
    </w:p>
    <w:p w14:paraId="7F034DBC">
      <w:pPr>
        <w:spacing w:line="360" w:lineRule="auto"/>
        <w:ind w:firstLine="7350" w:firstLineChars="3500"/>
        <w:rPr>
          <w:rFonts w:ascii="宋体" w:hAnsi="宋体" w:cs="宋体"/>
          <w:b w:val="0"/>
          <w:bCs/>
          <w:color w:val="auto"/>
          <w:highlight w:val="none"/>
        </w:rPr>
      </w:pPr>
      <w:r>
        <w:rPr>
          <w:rFonts w:hint="eastAsia" w:ascii="宋体" w:hAnsi="宋体" w:cs="宋体"/>
          <w:b w:val="0"/>
          <w:bCs/>
          <w:color w:val="auto"/>
          <w:szCs w:val="21"/>
          <w:highlight w:val="none"/>
        </w:rPr>
        <w:t>单位：人民币元</w:t>
      </w:r>
    </w:p>
    <w:tbl>
      <w:tblPr>
        <w:tblStyle w:val="46"/>
        <w:tblW w:w="9333"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260"/>
        <w:gridCol w:w="1675"/>
        <w:gridCol w:w="1891"/>
        <w:gridCol w:w="1050"/>
        <w:gridCol w:w="1417"/>
        <w:gridCol w:w="1416"/>
      </w:tblGrid>
      <w:tr w14:paraId="7F03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24" w:type="dxa"/>
            <w:vAlign w:val="center"/>
          </w:tcPr>
          <w:p w14:paraId="7F034DBD">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序号</w:t>
            </w:r>
          </w:p>
        </w:tc>
        <w:tc>
          <w:tcPr>
            <w:tcW w:w="1260" w:type="dxa"/>
            <w:vAlign w:val="center"/>
          </w:tcPr>
          <w:p w14:paraId="7F034DBE">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名称</w:t>
            </w:r>
          </w:p>
        </w:tc>
        <w:tc>
          <w:tcPr>
            <w:tcW w:w="1675" w:type="dxa"/>
            <w:vAlign w:val="center"/>
          </w:tcPr>
          <w:p w14:paraId="7F034DBF">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规格和型号</w:t>
            </w:r>
          </w:p>
        </w:tc>
        <w:tc>
          <w:tcPr>
            <w:tcW w:w="1891" w:type="dxa"/>
            <w:vAlign w:val="center"/>
          </w:tcPr>
          <w:p w14:paraId="7F034DC0">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品牌或制造厂名称</w:t>
            </w:r>
          </w:p>
        </w:tc>
        <w:tc>
          <w:tcPr>
            <w:tcW w:w="1050" w:type="dxa"/>
            <w:vAlign w:val="center"/>
          </w:tcPr>
          <w:p w14:paraId="7F034DC1">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数量</w:t>
            </w:r>
          </w:p>
        </w:tc>
        <w:tc>
          <w:tcPr>
            <w:tcW w:w="1417" w:type="dxa"/>
            <w:vAlign w:val="center"/>
          </w:tcPr>
          <w:p w14:paraId="7F034DC2">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单价</w:t>
            </w:r>
          </w:p>
        </w:tc>
        <w:tc>
          <w:tcPr>
            <w:tcW w:w="1416" w:type="dxa"/>
            <w:vAlign w:val="center"/>
          </w:tcPr>
          <w:p w14:paraId="7F034DC3">
            <w:pPr>
              <w:jc w:val="center"/>
              <w:rPr>
                <w:rFonts w:hint="eastAsia" w:ascii="宋体" w:hAnsi="宋体" w:cs="宋体"/>
                <w:b w:val="0"/>
                <w:bCs/>
                <w:color w:val="auto"/>
                <w:spacing w:val="-10"/>
                <w:szCs w:val="21"/>
                <w:highlight w:val="none"/>
              </w:rPr>
            </w:pPr>
            <w:r>
              <w:rPr>
                <w:rFonts w:hint="eastAsia" w:ascii="宋体" w:hAnsi="宋体" w:cs="宋体"/>
                <w:b w:val="0"/>
                <w:bCs/>
                <w:color w:val="auto"/>
                <w:spacing w:val="-10"/>
                <w:szCs w:val="21"/>
                <w:highlight w:val="none"/>
              </w:rPr>
              <w:t>合价</w:t>
            </w:r>
          </w:p>
        </w:tc>
      </w:tr>
      <w:tr w14:paraId="7F03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C5">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p>
        </w:tc>
        <w:tc>
          <w:tcPr>
            <w:tcW w:w="1260" w:type="dxa"/>
          </w:tcPr>
          <w:p w14:paraId="7F034DC6">
            <w:pPr>
              <w:spacing w:line="336" w:lineRule="auto"/>
              <w:rPr>
                <w:rFonts w:hint="eastAsia" w:ascii="宋体" w:hAnsi="宋体" w:cs="宋体"/>
                <w:b w:val="0"/>
                <w:bCs/>
                <w:color w:val="auto"/>
                <w:szCs w:val="21"/>
                <w:highlight w:val="none"/>
              </w:rPr>
            </w:pPr>
          </w:p>
        </w:tc>
        <w:tc>
          <w:tcPr>
            <w:tcW w:w="1675" w:type="dxa"/>
          </w:tcPr>
          <w:p w14:paraId="7F034DC7">
            <w:pPr>
              <w:spacing w:line="336" w:lineRule="auto"/>
              <w:rPr>
                <w:rFonts w:hint="eastAsia" w:ascii="宋体" w:hAnsi="宋体" w:cs="宋体"/>
                <w:b w:val="0"/>
                <w:bCs/>
                <w:color w:val="auto"/>
                <w:szCs w:val="21"/>
                <w:highlight w:val="none"/>
              </w:rPr>
            </w:pPr>
          </w:p>
        </w:tc>
        <w:tc>
          <w:tcPr>
            <w:tcW w:w="1891" w:type="dxa"/>
          </w:tcPr>
          <w:p w14:paraId="7F034DC8">
            <w:pPr>
              <w:spacing w:line="336" w:lineRule="auto"/>
              <w:rPr>
                <w:rFonts w:hint="eastAsia" w:ascii="宋体" w:hAnsi="宋体" w:cs="宋体"/>
                <w:b w:val="0"/>
                <w:bCs/>
                <w:color w:val="auto"/>
                <w:szCs w:val="21"/>
                <w:highlight w:val="none"/>
              </w:rPr>
            </w:pPr>
          </w:p>
        </w:tc>
        <w:tc>
          <w:tcPr>
            <w:tcW w:w="1050" w:type="dxa"/>
          </w:tcPr>
          <w:p w14:paraId="7F034DC9">
            <w:pPr>
              <w:spacing w:line="336" w:lineRule="auto"/>
              <w:rPr>
                <w:rFonts w:hint="eastAsia" w:ascii="宋体" w:hAnsi="宋体" w:cs="宋体"/>
                <w:b w:val="0"/>
                <w:bCs/>
                <w:color w:val="auto"/>
                <w:szCs w:val="21"/>
                <w:highlight w:val="none"/>
              </w:rPr>
            </w:pPr>
          </w:p>
        </w:tc>
        <w:tc>
          <w:tcPr>
            <w:tcW w:w="1417" w:type="dxa"/>
          </w:tcPr>
          <w:p w14:paraId="7F034DCA">
            <w:pPr>
              <w:spacing w:line="336" w:lineRule="auto"/>
              <w:rPr>
                <w:rFonts w:hint="eastAsia" w:ascii="宋体" w:hAnsi="宋体" w:cs="宋体"/>
                <w:b w:val="0"/>
                <w:bCs/>
                <w:color w:val="auto"/>
                <w:szCs w:val="21"/>
                <w:highlight w:val="none"/>
              </w:rPr>
            </w:pPr>
          </w:p>
        </w:tc>
        <w:tc>
          <w:tcPr>
            <w:tcW w:w="1416" w:type="dxa"/>
          </w:tcPr>
          <w:p w14:paraId="7F034DCB">
            <w:pPr>
              <w:spacing w:line="336" w:lineRule="auto"/>
              <w:rPr>
                <w:rFonts w:hint="eastAsia" w:ascii="宋体" w:hAnsi="宋体" w:cs="宋体"/>
                <w:b w:val="0"/>
                <w:bCs/>
                <w:color w:val="auto"/>
                <w:szCs w:val="21"/>
                <w:highlight w:val="none"/>
              </w:rPr>
            </w:pPr>
          </w:p>
        </w:tc>
      </w:tr>
      <w:tr w14:paraId="7F03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CD">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2</w:t>
            </w:r>
          </w:p>
        </w:tc>
        <w:tc>
          <w:tcPr>
            <w:tcW w:w="1260" w:type="dxa"/>
          </w:tcPr>
          <w:p w14:paraId="7F034DCE">
            <w:pPr>
              <w:spacing w:line="336" w:lineRule="auto"/>
              <w:rPr>
                <w:rFonts w:hint="eastAsia" w:ascii="宋体" w:hAnsi="宋体" w:cs="宋体"/>
                <w:b w:val="0"/>
                <w:bCs/>
                <w:color w:val="auto"/>
                <w:szCs w:val="21"/>
                <w:highlight w:val="none"/>
              </w:rPr>
            </w:pPr>
          </w:p>
        </w:tc>
        <w:tc>
          <w:tcPr>
            <w:tcW w:w="1675" w:type="dxa"/>
          </w:tcPr>
          <w:p w14:paraId="7F034DCF">
            <w:pPr>
              <w:spacing w:line="336" w:lineRule="auto"/>
              <w:rPr>
                <w:rFonts w:hint="eastAsia" w:ascii="宋体" w:hAnsi="宋体" w:cs="宋体"/>
                <w:b w:val="0"/>
                <w:bCs/>
                <w:color w:val="auto"/>
                <w:szCs w:val="21"/>
                <w:highlight w:val="none"/>
              </w:rPr>
            </w:pPr>
          </w:p>
        </w:tc>
        <w:tc>
          <w:tcPr>
            <w:tcW w:w="1891" w:type="dxa"/>
          </w:tcPr>
          <w:p w14:paraId="7F034DD0">
            <w:pPr>
              <w:spacing w:line="336" w:lineRule="auto"/>
              <w:rPr>
                <w:rFonts w:hint="eastAsia" w:ascii="宋体" w:hAnsi="宋体" w:cs="宋体"/>
                <w:b w:val="0"/>
                <w:bCs/>
                <w:color w:val="auto"/>
                <w:szCs w:val="21"/>
                <w:highlight w:val="none"/>
              </w:rPr>
            </w:pPr>
          </w:p>
        </w:tc>
        <w:tc>
          <w:tcPr>
            <w:tcW w:w="1050" w:type="dxa"/>
          </w:tcPr>
          <w:p w14:paraId="7F034DD1">
            <w:pPr>
              <w:spacing w:line="336" w:lineRule="auto"/>
              <w:rPr>
                <w:rFonts w:hint="eastAsia" w:ascii="宋体" w:hAnsi="宋体" w:cs="宋体"/>
                <w:b w:val="0"/>
                <w:bCs/>
                <w:color w:val="auto"/>
                <w:szCs w:val="21"/>
                <w:highlight w:val="none"/>
              </w:rPr>
            </w:pPr>
          </w:p>
        </w:tc>
        <w:tc>
          <w:tcPr>
            <w:tcW w:w="1417" w:type="dxa"/>
          </w:tcPr>
          <w:p w14:paraId="7F034DD2">
            <w:pPr>
              <w:spacing w:line="336" w:lineRule="auto"/>
              <w:rPr>
                <w:rFonts w:hint="eastAsia" w:ascii="宋体" w:hAnsi="宋体" w:cs="宋体"/>
                <w:b w:val="0"/>
                <w:bCs/>
                <w:color w:val="auto"/>
                <w:szCs w:val="21"/>
                <w:highlight w:val="none"/>
              </w:rPr>
            </w:pPr>
          </w:p>
        </w:tc>
        <w:tc>
          <w:tcPr>
            <w:tcW w:w="1416" w:type="dxa"/>
          </w:tcPr>
          <w:p w14:paraId="7F034DD3">
            <w:pPr>
              <w:spacing w:line="336" w:lineRule="auto"/>
              <w:rPr>
                <w:rFonts w:hint="eastAsia" w:ascii="宋体" w:hAnsi="宋体" w:cs="宋体"/>
                <w:b w:val="0"/>
                <w:bCs/>
                <w:color w:val="auto"/>
                <w:szCs w:val="21"/>
                <w:highlight w:val="none"/>
              </w:rPr>
            </w:pPr>
          </w:p>
        </w:tc>
      </w:tr>
      <w:tr w14:paraId="7F03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D5">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p>
        </w:tc>
        <w:tc>
          <w:tcPr>
            <w:tcW w:w="1260" w:type="dxa"/>
          </w:tcPr>
          <w:p w14:paraId="7F034DD6">
            <w:pPr>
              <w:spacing w:line="336" w:lineRule="auto"/>
              <w:rPr>
                <w:rFonts w:hint="eastAsia" w:ascii="宋体" w:hAnsi="宋体" w:cs="宋体"/>
                <w:b w:val="0"/>
                <w:bCs/>
                <w:color w:val="auto"/>
                <w:szCs w:val="21"/>
                <w:highlight w:val="none"/>
              </w:rPr>
            </w:pPr>
          </w:p>
        </w:tc>
        <w:tc>
          <w:tcPr>
            <w:tcW w:w="1675" w:type="dxa"/>
          </w:tcPr>
          <w:p w14:paraId="7F034DD7">
            <w:pPr>
              <w:spacing w:line="336" w:lineRule="auto"/>
              <w:rPr>
                <w:rFonts w:hint="eastAsia" w:ascii="宋体" w:hAnsi="宋体" w:cs="宋体"/>
                <w:b w:val="0"/>
                <w:bCs/>
                <w:color w:val="auto"/>
                <w:szCs w:val="21"/>
                <w:highlight w:val="none"/>
              </w:rPr>
            </w:pPr>
          </w:p>
        </w:tc>
        <w:tc>
          <w:tcPr>
            <w:tcW w:w="1891" w:type="dxa"/>
          </w:tcPr>
          <w:p w14:paraId="7F034DD8">
            <w:pPr>
              <w:spacing w:line="336" w:lineRule="auto"/>
              <w:rPr>
                <w:rFonts w:hint="eastAsia" w:ascii="宋体" w:hAnsi="宋体" w:cs="宋体"/>
                <w:b w:val="0"/>
                <w:bCs/>
                <w:color w:val="auto"/>
                <w:szCs w:val="21"/>
                <w:highlight w:val="none"/>
              </w:rPr>
            </w:pPr>
          </w:p>
        </w:tc>
        <w:tc>
          <w:tcPr>
            <w:tcW w:w="1050" w:type="dxa"/>
          </w:tcPr>
          <w:p w14:paraId="7F034DD9">
            <w:pPr>
              <w:spacing w:line="336" w:lineRule="auto"/>
              <w:rPr>
                <w:rFonts w:hint="eastAsia" w:ascii="宋体" w:hAnsi="宋体" w:cs="宋体"/>
                <w:b w:val="0"/>
                <w:bCs/>
                <w:color w:val="auto"/>
                <w:szCs w:val="21"/>
                <w:highlight w:val="none"/>
              </w:rPr>
            </w:pPr>
          </w:p>
        </w:tc>
        <w:tc>
          <w:tcPr>
            <w:tcW w:w="1417" w:type="dxa"/>
          </w:tcPr>
          <w:p w14:paraId="7F034DDA">
            <w:pPr>
              <w:spacing w:line="336" w:lineRule="auto"/>
              <w:rPr>
                <w:rFonts w:hint="eastAsia" w:ascii="宋体" w:hAnsi="宋体" w:cs="宋体"/>
                <w:b w:val="0"/>
                <w:bCs/>
                <w:color w:val="auto"/>
                <w:szCs w:val="21"/>
                <w:highlight w:val="none"/>
              </w:rPr>
            </w:pPr>
          </w:p>
        </w:tc>
        <w:tc>
          <w:tcPr>
            <w:tcW w:w="1416" w:type="dxa"/>
          </w:tcPr>
          <w:p w14:paraId="7F034DDB">
            <w:pPr>
              <w:spacing w:line="336" w:lineRule="auto"/>
              <w:rPr>
                <w:rFonts w:hint="eastAsia" w:ascii="宋体" w:hAnsi="宋体" w:cs="宋体"/>
                <w:b w:val="0"/>
                <w:bCs/>
                <w:color w:val="auto"/>
                <w:szCs w:val="21"/>
                <w:highlight w:val="none"/>
              </w:rPr>
            </w:pPr>
          </w:p>
        </w:tc>
      </w:tr>
      <w:tr w14:paraId="7F034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vAlign w:val="center"/>
          </w:tcPr>
          <w:p w14:paraId="7F034DDD">
            <w:pPr>
              <w:spacing w:line="336"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p>
        </w:tc>
        <w:tc>
          <w:tcPr>
            <w:tcW w:w="1260" w:type="dxa"/>
          </w:tcPr>
          <w:p w14:paraId="7F034DDE">
            <w:pPr>
              <w:spacing w:line="336" w:lineRule="auto"/>
              <w:rPr>
                <w:rFonts w:hint="eastAsia" w:ascii="宋体" w:hAnsi="宋体" w:cs="宋体"/>
                <w:b w:val="0"/>
                <w:bCs/>
                <w:color w:val="auto"/>
                <w:szCs w:val="21"/>
                <w:highlight w:val="none"/>
              </w:rPr>
            </w:pPr>
          </w:p>
        </w:tc>
        <w:tc>
          <w:tcPr>
            <w:tcW w:w="1675" w:type="dxa"/>
          </w:tcPr>
          <w:p w14:paraId="7F034DDF">
            <w:pPr>
              <w:spacing w:line="336" w:lineRule="auto"/>
              <w:rPr>
                <w:rFonts w:hint="eastAsia" w:ascii="宋体" w:hAnsi="宋体" w:cs="宋体"/>
                <w:b w:val="0"/>
                <w:bCs/>
                <w:color w:val="auto"/>
                <w:szCs w:val="21"/>
                <w:highlight w:val="none"/>
              </w:rPr>
            </w:pPr>
          </w:p>
        </w:tc>
        <w:tc>
          <w:tcPr>
            <w:tcW w:w="1891" w:type="dxa"/>
          </w:tcPr>
          <w:p w14:paraId="7F034DE0">
            <w:pPr>
              <w:spacing w:line="336" w:lineRule="auto"/>
              <w:rPr>
                <w:rFonts w:hint="eastAsia" w:ascii="宋体" w:hAnsi="宋体" w:cs="宋体"/>
                <w:b w:val="0"/>
                <w:bCs/>
                <w:color w:val="auto"/>
                <w:szCs w:val="21"/>
                <w:highlight w:val="none"/>
              </w:rPr>
            </w:pPr>
          </w:p>
        </w:tc>
        <w:tc>
          <w:tcPr>
            <w:tcW w:w="1050" w:type="dxa"/>
          </w:tcPr>
          <w:p w14:paraId="7F034DE1">
            <w:pPr>
              <w:spacing w:line="336" w:lineRule="auto"/>
              <w:rPr>
                <w:rFonts w:hint="eastAsia" w:ascii="宋体" w:hAnsi="宋体" w:cs="宋体"/>
                <w:b w:val="0"/>
                <w:bCs/>
                <w:color w:val="auto"/>
                <w:szCs w:val="21"/>
                <w:highlight w:val="none"/>
              </w:rPr>
            </w:pPr>
          </w:p>
        </w:tc>
        <w:tc>
          <w:tcPr>
            <w:tcW w:w="1417" w:type="dxa"/>
          </w:tcPr>
          <w:p w14:paraId="7F034DE2">
            <w:pPr>
              <w:spacing w:line="336" w:lineRule="auto"/>
              <w:rPr>
                <w:rFonts w:hint="eastAsia" w:ascii="宋体" w:hAnsi="宋体" w:cs="宋体"/>
                <w:b w:val="0"/>
                <w:bCs/>
                <w:color w:val="auto"/>
                <w:szCs w:val="21"/>
                <w:highlight w:val="none"/>
              </w:rPr>
            </w:pPr>
          </w:p>
        </w:tc>
        <w:tc>
          <w:tcPr>
            <w:tcW w:w="1416" w:type="dxa"/>
          </w:tcPr>
          <w:p w14:paraId="7F034DE3">
            <w:pPr>
              <w:spacing w:line="336" w:lineRule="auto"/>
              <w:rPr>
                <w:rFonts w:hint="eastAsia" w:ascii="宋体" w:hAnsi="宋体" w:cs="宋体"/>
                <w:b w:val="0"/>
                <w:bCs/>
                <w:color w:val="auto"/>
                <w:szCs w:val="21"/>
                <w:highlight w:val="none"/>
              </w:rPr>
            </w:pPr>
          </w:p>
        </w:tc>
      </w:tr>
    </w:tbl>
    <w:p w14:paraId="7F034DE5">
      <w:pPr>
        <w:rPr>
          <w:rFonts w:ascii="宋体" w:hAnsi="宋体" w:cs="宋体"/>
          <w:b w:val="0"/>
          <w:bCs/>
          <w:color w:val="auto"/>
          <w:highlight w:val="none"/>
        </w:rPr>
      </w:pPr>
    </w:p>
    <w:p w14:paraId="7F034DE6">
      <w:pPr>
        <w:tabs>
          <w:tab w:val="left" w:pos="7140"/>
          <w:tab w:val="left" w:pos="7560"/>
          <w:tab w:val="left" w:pos="8300"/>
        </w:tabs>
        <w:autoSpaceDE w:val="0"/>
        <w:autoSpaceDN w:val="0"/>
        <w:adjustRightInd w:val="0"/>
        <w:spacing w:line="360" w:lineRule="auto"/>
        <w:ind w:right="210" w:firstLine="2816" w:firstLineChars="1341"/>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投  标  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（盖单位法人章） </w:t>
      </w:r>
    </w:p>
    <w:p w14:paraId="7F034DE7">
      <w:pPr>
        <w:tabs>
          <w:tab w:val="left" w:pos="7140"/>
          <w:tab w:val="left" w:pos="7560"/>
          <w:tab w:val="left" w:pos="8300"/>
        </w:tabs>
        <w:autoSpaceDE w:val="0"/>
        <w:autoSpaceDN w:val="0"/>
        <w:adjustRightInd w:val="0"/>
        <w:spacing w:line="360" w:lineRule="auto"/>
        <w:ind w:right="210" w:firstLine="2835" w:firstLineChars="1350"/>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法定代表人或其委托代理人：</w:t>
      </w:r>
      <w:r>
        <w:rPr>
          <w:rFonts w:hint="eastAsia" w:ascii="宋体" w:hAnsi="宋体" w:cs="宋体"/>
          <w:b w:val="0"/>
          <w:bCs/>
          <w:snapToGrid w:val="0"/>
          <w:color w:val="auto"/>
          <w:kern w:val="0"/>
          <w:szCs w:val="21"/>
          <w:highlight w:val="none"/>
          <w:u w:val="single"/>
        </w:rPr>
        <w:t xml:space="preserve">               </w:t>
      </w:r>
      <w:r>
        <w:rPr>
          <w:rFonts w:hint="eastAsia" w:ascii="宋体" w:hAnsi="宋体" w:cs="宋体"/>
          <w:b w:val="0"/>
          <w:bCs/>
          <w:snapToGrid w:val="0"/>
          <w:color w:val="auto"/>
          <w:kern w:val="0"/>
          <w:szCs w:val="21"/>
          <w:highlight w:val="none"/>
        </w:rPr>
        <w:t xml:space="preserve">（签名或盖章） </w:t>
      </w:r>
    </w:p>
    <w:p w14:paraId="7F034DE8">
      <w:pPr>
        <w:tabs>
          <w:tab w:val="left" w:pos="631"/>
          <w:tab w:val="left" w:pos="1471"/>
          <w:tab w:val="left" w:pos="2311"/>
        </w:tabs>
        <w:autoSpaceDE w:val="0"/>
        <w:autoSpaceDN w:val="0"/>
        <w:spacing w:before="37"/>
        <w:ind w:right="597"/>
        <w:jc w:val="right"/>
        <w:rPr>
          <w:rFonts w:hint="eastAsia" w:ascii="宋体" w:hAnsi="宋体" w:cs="宋体"/>
          <w:b w:val="0"/>
          <w:bCs/>
          <w:color w:val="auto"/>
          <w:kern w:val="0"/>
          <w:szCs w:val="21"/>
          <w:highlight w:val="none"/>
        </w:rPr>
      </w:pPr>
      <w:r>
        <w:rPr>
          <w:rFonts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rPr>
        <w:t>日</w:t>
      </w:r>
    </w:p>
    <w:p w14:paraId="7F034DE9">
      <w:pPr>
        <w:tabs>
          <w:tab w:val="left" w:pos="7140"/>
          <w:tab w:val="left" w:pos="7560"/>
          <w:tab w:val="left" w:pos="8300"/>
        </w:tabs>
        <w:autoSpaceDE w:val="0"/>
        <w:autoSpaceDN w:val="0"/>
        <w:adjustRightInd w:val="0"/>
        <w:spacing w:line="360" w:lineRule="auto"/>
        <w:ind w:right="210" w:firstLine="1995" w:firstLineChars="950"/>
        <w:rPr>
          <w:rFonts w:hint="eastAsia" w:ascii="宋体" w:hAnsi="宋体" w:cs="宋体"/>
          <w:b w:val="0"/>
          <w:bCs/>
          <w:snapToGrid w:val="0"/>
          <w:color w:val="auto"/>
          <w:kern w:val="0"/>
          <w:szCs w:val="21"/>
          <w:highlight w:val="none"/>
        </w:rPr>
      </w:pPr>
    </w:p>
    <w:p w14:paraId="7F034DEA">
      <w:pPr>
        <w:pStyle w:val="5"/>
        <w:spacing w:before="0" w:after="0" w:line="240" w:lineRule="auto"/>
        <w:jc w:val="center"/>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br w:type="page"/>
      </w:r>
      <w:bookmarkStart w:id="1003" w:name="_Toc430530532"/>
      <w:bookmarkStart w:id="1004" w:name="_Toc287607869"/>
      <w:bookmarkStart w:id="1005" w:name="_Toc224103497"/>
      <w:bookmarkStart w:id="1006" w:name="_Toc277082645"/>
      <w:bookmarkStart w:id="1007" w:name="_Toc287620816"/>
    </w:p>
    <w:p w14:paraId="7F034DEB">
      <w:pPr>
        <w:keepNext/>
        <w:keepLines/>
        <w:spacing w:line="360" w:lineRule="auto"/>
        <w:jc w:val="center"/>
        <w:outlineLvl w:val="2"/>
        <w:rPr>
          <w:rFonts w:hint="eastAsia" w:ascii="宋体" w:hAnsi="宋体" w:cs="宋体"/>
          <w:b w:val="0"/>
          <w:bCs/>
          <w:color w:val="auto"/>
          <w:sz w:val="32"/>
          <w:szCs w:val="20"/>
          <w:highlight w:val="none"/>
        </w:rPr>
      </w:pPr>
      <w:bookmarkStart w:id="1008" w:name="_Toc12476"/>
      <w:r>
        <w:rPr>
          <w:rFonts w:hint="eastAsia" w:ascii="宋体" w:hAnsi="宋体" w:cs="宋体"/>
          <w:b w:val="0"/>
          <w:bCs/>
          <w:color w:val="auto"/>
          <w:sz w:val="32"/>
          <w:szCs w:val="20"/>
          <w:highlight w:val="none"/>
        </w:rPr>
        <w:t>（三）</w:t>
      </w:r>
      <w:r>
        <w:rPr>
          <w:rFonts w:hint="eastAsia" w:ascii="宋体" w:hAnsi="宋体" w:cs="宋体"/>
          <w:b w:val="0"/>
          <w:bCs/>
          <w:snapToGrid w:val="0"/>
          <w:color w:val="auto"/>
          <w:kern w:val="0"/>
          <w:sz w:val="32"/>
          <w:szCs w:val="32"/>
          <w:highlight w:val="none"/>
        </w:rPr>
        <w:t>投标报价合理性说明（如有）</w:t>
      </w:r>
      <w:bookmarkEnd w:id="1008"/>
    </w:p>
    <w:p w14:paraId="7F034DEC">
      <w:pPr>
        <w:autoSpaceDE w:val="0"/>
        <w:autoSpaceDN w:val="0"/>
        <w:adjustRightInd w:val="0"/>
        <w:snapToGrid w:val="0"/>
        <w:spacing w:line="360" w:lineRule="auto"/>
        <w:jc w:val="center"/>
        <w:rPr>
          <w:rFonts w:hint="eastAsia" w:ascii="宋体" w:hAnsi="宋体" w:cs="宋体"/>
          <w:b w:val="0"/>
          <w:bCs/>
          <w:snapToGrid w:val="0"/>
          <w:color w:val="auto"/>
          <w:kern w:val="0"/>
          <w:szCs w:val="21"/>
          <w:highlight w:val="none"/>
        </w:rPr>
      </w:pPr>
    </w:p>
    <w:p w14:paraId="7F034DED">
      <w:pPr>
        <w:spacing w:line="360" w:lineRule="auto"/>
        <w:ind w:firstLine="420" w:firstLineChars="200"/>
        <w:rPr>
          <w:rFonts w:hint="eastAsia" w:ascii="宋体" w:hAnsi="宋体" w:cs="宋体"/>
          <w:b w:val="0"/>
          <w:bCs/>
          <w:snapToGrid w:val="0"/>
          <w:color w:val="auto"/>
          <w:kern w:val="0"/>
          <w:szCs w:val="21"/>
          <w:highlight w:val="none"/>
        </w:rPr>
      </w:pPr>
    </w:p>
    <w:p w14:paraId="7F034DEE">
      <w:pPr>
        <w:spacing w:line="360" w:lineRule="auto"/>
        <w:ind w:firstLine="420" w:firstLineChars="200"/>
        <w:jc w:val="left"/>
        <w:rPr>
          <w:rFonts w:hint="eastAsia" w:ascii="宋体" w:hAnsi="宋体" w:cs="宋体"/>
          <w:b w:val="0"/>
          <w:bCs/>
          <w:snapToGrid w:val="0"/>
          <w:color w:val="auto"/>
          <w:kern w:val="0"/>
          <w:szCs w:val="21"/>
          <w:highlight w:val="none"/>
        </w:rPr>
      </w:pPr>
      <w:r>
        <w:rPr>
          <w:rFonts w:hint="eastAsia" w:ascii="宋体" w:hAnsi="宋体" w:cs="宋体"/>
          <w:b w:val="0"/>
          <w:bCs/>
          <w:snapToGrid w:val="0"/>
          <w:color w:val="auto"/>
          <w:kern w:val="0"/>
          <w:szCs w:val="21"/>
          <w:highlight w:val="none"/>
        </w:rPr>
        <w:t>（注：投标报价低于异常低价警戒线时提供，格式自拟，并提供必要的佐证材料。投标人提供的说明不得降低或者改变原设计方案、技术工艺、施工标准，不得影响项目的质量、安全、工期、结算等正常履约。）</w:t>
      </w:r>
    </w:p>
    <w:p w14:paraId="7F034DEF">
      <w:pPr>
        <w:rPr>
          <w:rFonts w:hint="eastAsia" w:ascii="宋体" w:hAnsi="宋体" w:cs="宋体"/>
          <w:b w:val="0"/>
          <w:bCs/>
          <w:color w:val="auto"/>
          <w:highlight w:val="none"/>
        </w:rPr>
      </w:pPr>
      <w:r>
        <w:rPr>
          <w:rFonts w:hint="eastAsia" w:ascii="宋体" w:hAnsi="宋体" w:cs="宋体"/>
          <w:b w:val="0"/>
          <w:bCs/>
          <w:color w:val="auto"/>
          <w:highlight w:val="none"/>
        </w:rPr>
        <w:br w:type="page"/>
      </w:r>
    </w:p>
    <w:p w14:paraId="7F034DF0">
      <w:pPr>
        <w:pStyle w:val="5"/>
        <w:spacing w:before="0" w:after="0" w:line="240" w:lineRule="auto"/>
        <w:jc w:val="center"/>
        <w:rPr>
          <w:rFonts w:hint="eastAsia" w:ascii="宋体" w:hAnsi="宋体" w:cs="宋体"/>
          <w:b w:val="0"/>
          <w:bCs/>
          <w:snapToGrid w:val="0"/>
          <w:color w:val="auto"/>
          <w:kern w:val="0"/>
          <w:szCs w:val="21"/>
          <w:highlight w:val="none"/>
        </w:rPr>
      </w:pPr>
      <w:bookmarkStart w:id="1009" w:name="_Toc31806"/>
      <w:r>
        <w:rPr>
          <w:rFonts w:hint="eastAsia" w:ascii="宋体" w:hAnsi="宋体" w:cs="宋体"/>
          <w:b w:val="0"/>
          <w:bCs/>
          <w:color w:val="auto"/>
          <w:highlight w:val="none"/>
        </w:rPr>
        <w:t>（四）</w:t>
      </w:r>
      <w:r>
        <w:rPr>
          <w:rFonts w:hint="eastAsia" w:ascii="宋体" w:hAnsi="宋体" w:cs="宋体"/>
          <w:b w:val="0"/>
          <w:bCs/>
          <w:color w:val="auto"/>
          <w:sz w:val="30"/>
          <w:szCs w:val="30"/>
          <w:highlight w:val="none"/>
        </w:rPr>
        <w:t>法定代表人身份证明或授权委托书</w:t>
      </w:r>
      <w:bookmarkEnd w:id="1003"/>
      <w:bookmarkEnd w:id="1004"/>
      <w:bookmarkEnd w:id="1005"/>
      <w:bookmarkEnd w:id="1006"/>
      <w:bookmarkEnd w:id="1007"/>
      <w:bookmarkEnd w:id="1009"/>
    </w:p>
    <w:p w14:paraId="7F034DF1">
      <w:pPr>
        <w:spacing w:line="480" w:lineRule="auto"/>
        <w:jc w:val="center"/>
        <w:rPr>
          <w:rFonts w:hint="eastAsia" w:ascii="宋体" w:hAnsi="宋体" w:cs="宋体"/>
          <w:b w:val="0"/>
          <w:bCs/>
          <w:color w:val="auto"/>
          <w:sz w:val="28"/>
          <w:highlight w:val="none"/>
        </w:rPr>
      </w:pPr>
      <w:r>
        <w:rPr>
          <w:rFonts w:hint="eastAsia" w:ascii="宋体" w:hAnsi="宋体" w:cs="宋体"/>
          <w:b w:val="0"/>
          <w:bCs/>
          <w:color w:val="auto"/>
          <w:sz w:val="28"/>
          <w:highlight w:val="none"/>
        </w:rPr>
        <w:t>法定代表人身份证明</w:t>
      </w:r>
    </w:p>
    <w:p w14:paraId="7F034DF2">
      <w:pPr>
        <w:spacing w:line="480" w:lineRule="auto"/>
        <w:jc w:val="center"/>
        <w:rPr>
          <w:rFonts w:hint="eastAsia" w:ascii="宋体" w:hAnsi="宋体" w:cs="宋体"/>
          <w:b w:val="0"/>
          <w:bCs/>
          <w:color w:val="auto"/>
          <w:highlight w:val="none"/>
        </w:rPr>
      </w:pPr>
    </w:p>
    <w:p w14:paraId="7F034DF3">
      <w:pPr>
        <w:tabs>
          <w:tab w:val="left" w:pos="556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投标人名称：</w:t>
      </w:r>
      <w:r>
        <w:rPr>
          <w:rFonts w:hint="eastAsia" w:ascii="宋体" w:hAnsi="宋体" w:cs="宋体"/>
          <w:b w:val="0"/>
          <w:bCs/>
          <w:color w:val="auto"/>
          <w:w w:val="200"/>
          <w:kern w:val="0"/>
          <w:szCs w:val="21"/>
          <w:highlight w:val="none"/>
          <w:u w:val="single"/>
        </w:rPr>
        <w:t xml:space="preserve">                                     </w:t>
      </w:r>
    </w:p>
    <w:p w14:paraId="7F034DF4">
      <w:pPr>
        <w:tabs>
          <w:tab w:val="left" w:pos="547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单位性质：</w:t>
      </w:r>
      <w:r>
        <w:rPr>
          <w:rFonts w:hint="eastAsia" w:ascii="宋体" w:hAnsi="宋体" w:cs="宋体"/>
          <w:b w:val="0"/>
          <w:bCs/>
          <w:color w:val="auto"/>
          <w:w w:val="200"/>
          <w:kern w:val="0"/>
          <w:szCs w:val="21"/>
          <w:highlight w:val="none"/>
          <w:u w:val="single"/>
        </w:rPr>
        <w:t xml:space="preserve">                                     </w:t>
      </w:r>
    </w:p>
    <w:p w14:paraId="7F034DF5">
      <w:pPr>
        <w:tabs>
          <w:tab w:val="left" w:pos="547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地    址：</w:t>
      </w:r>
      <w:r>
        <w:rPr>
          <w:rFonts w:hint="eastAsia" w:ascii="宋体" w:hAnsi="宋体" w:cs="宋体"/>
          <w:b w:val="0"/>
          <w:bCs/>
          <w:color w:val="auto"/>
          <w:w w:val="200"/>
          <w:kern w:val="0"/>
          <w:szCs w:val="21"/>
          <w:highlight w:val="none"/>
          <w:u w:val="single"/>
        </w:rPr>
        <w:t xml:space="preserve">                                     </w:t>
      </w:r>
    </w:p>
    <w:p w14:paraId="7F034DF6">
      <w:pPr>
        <w:tabs>
          <w:tab w:val="left" w:pos="2520"/>
          <w:tab w:val="left" w:pos="3836"/>
        </w:tabs>
        <w:autoSpaceDE w:val="0"/>
        <w:autoSpaceDN w:val="0"/>
        <w:adjustRightInd w:val="0"/>
        <w:snapToGrid w:val="0"/>
        <w:spacing w:line="480" w:lineRule="auto"/>
        <w:ind w:firstLine="390" w:firstLineChars="186"/>
        <w:jc w:val="left"/>
        <w:rPr>
          <w:rFonts w:hint="eastAsia" w:ascii="宋体" w:hAnsi="宋体" w:cs="宋体"/>
          <w:b w:val="0"/>
          <w:bCs/>
          <w:color w:val="auto"/>
          <w:kern w:val="0"/>
          <w:sz w:val="10"/>
          <w:szCs w:val="10"/>
          <w:highlight w:val="none"/>
        </w:rPr>
      </w:pPr>
      <w:r>
        <w:rPr>
          <w:rFonts w:hint="eastAsia" w:ascii="宋体" w:hAnsi="宋体" w:cs="宋体"/>
          <w:b w:val="0"/>
          <w:bCs/>
          <w:color w:val="auto"/>
          <w:kern w:val="0"/>
          <w:szCs w:val="21"/>
          <w:highlight w:val="none"/>
        </w:rPr>
        <w:t>成立时间：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p>
    <w:p w14:paraId="7F034DF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姓名：</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性别</w:t>
      </w:r>
      <w:r>
        <w:rPr>
          <w:rFonts w:hint="eastAsia" w:ascii="宋体" w:hAnsi="宋体" w:cs="宋体"/>
          <w:b w:val="0"/>
          <w:bCs/>
          <w:color w:val="auto"/>
          <w:spacing w:val="-1"/>
          <w:kern w:val="0"/>
          <w:szCs w:val="21"/>
          <w:highlight w:val="none"/>
        </w:rPr>
        <w:t>：</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pacing w:val="-1"/>
          <w:kern w:val="0"/>
          <w:szCs w:val="21"/>
          <w:highlight w:val="none"/>
        </w:rPr>
        <w:t>年</w:t>
      </w:r>
      <w:r>
        <w:rPr>
          <w:rFonts w:hint="eastAsia" w:ascii="宋体" w:hAnsi="宋体" w:cs="宋体"/>
          <w:b w:val="0"/>
          <w:bCs/>
          <w:color w:val="auto"/>
          <w:kern w:val="0"/>
          <w:szCs w:val="21"/>
          <w:highlight w:val="none"/>
        </w:rPr>
        <w:t>龄：</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职务：</w:t>
      </w:r>
      <w:r>
        <w:rPr>
          <w:rFonts w:hint="eastAsia" w:ascii="宋体" w:hAnsi="宋体" w:cs="宋体"/>
          <w:b w:val="0"/>
          <w:bCs/>
          <w:color w:val="auto"/>
          <w:kern w:val="0"/>
          <w:szCs w:val="21"/>
          <w:highlight w:val="none"/>
          <w:u w:val="single"/>
        </w:rPr>
        <w:t xml:space="preserve">               </w:t>
      </w:r>
    </w:p>
    <w:p w14:paraId="7F034DF8">
      <w:pPr>
        <w:tabs>
          <w:tab w:val="left" w:pos="336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系</w:t>
      </w:r>
      <w:r>
        <w:rPr>
          <w:rFonts w:hint="eastAsia" w:ascii="宋体" w:hAnsi="宋体" w:cs="宋体"/>
          <w:b w:val="0"/>
          <w:bCs/>
          <w:color w:val="auto"/>
          <w:kern w:val="0"/>
          <w:szCs w:val="21"/>
          <w:highlight w:val="none"/>
          <w:u w:val="single"/>
        </w:rPr>
        <w:t xml:space="preserve">                                                         （投标人名称）</w:t>
      </w:r>
      <w:r>
        <w:rPr>
          <w:rFonts w:hint="eastAsia" w:ascii="宋体" w:hAnsi="宋体" w:cs="宋体"/>
          <w:b w:val="0"/>
          <w:bCs/>
          <w:color w:val="auto"/>
          <w:kern w:val="0"/>
          <w:szCs w:val="21"/>
          <w:highlight w:val="none"/>
        </w:rPr>
        <w:t>的法定代表人。</w:t>
      </w:r>
    </w:p>
    <w:p w14:paraId="7F034DF9">
      <w:pPr>
        <w:tabs>
          <w:tab w:val="left" w:pos="336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特此证明。</w:t>
      </w:r>
    </w:p>
    <w:p w14:paraId="7F034DFA">
      <w:pPr>
        <w:autoSpaceDE w:val="0"/>
        <w:autoSpaceDN w:val="0"/>
        <w:adjustRightInd w:val="0"/>
        <w:snapToGrid w:val="0"/>
        <w:spacing w:line="480" w:lineRule="auto"/>
        <w:ind w:firstLine="810" w:firstLineChars="3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附：法定代表人身份证明扫描件（双面）</w:t>
      </w:r>
    </w:p>
    <w:p w14:paraId="7F034DFB">
      <w:pPr>
        <w:autoSpaceDE w:val="0"/>
        <w:autoSpaceDN w:val="0"/>
        <w:adjustRightInd w:val="0"/>
        <w:snapToGrid w:val="0"/>
        <w:spacing w:line="360" w:lineRule="auto"/>
        <w:jc w:val="left"/>
        <w:rPr>
          <w:rFonts w:hint="eastAsia" w:ascii="宋体" w:hAnsi="宋体" w:cs="宋体"/>
          <w:b w:val="0"/>
          <w:bCs/>
          <w:color w:val="auto"/>
          <w:szCs w:val="21"/>
          <w:highlight w:val="none"/>
        </w:rPr>
      </w:pPr>
    </w:p>
    <w:p w14:paraId="7F034DFC">
      <w:pPr>
        <w:pStyle w:val="2"/>
        <w:spacing w:after="0" w:line="360" w:lineRule="auto"/>
        <w:rPr>
          <w:rFonts w:hint="eastAsia" w:ascii="宋体" w:hAnsi="宋体" w:cs="宋体"/>
          <w:b w:val="0"/>
          <w:bCs/>
          <w:color w:val="auto"/>
          <w:szCs w:val="21"/>
          <w:highlight w:val="none"/>
        </w:rPr>
      </w:pPr>
    </w:p>
    <w:p w14:paraId="7F034DFD">
      <w:pPr>
        <w:pStyle w:val="2"/>
        <w:spacing w:after="0" w:line="360" w:lineRule="auto"/>
        <w:rPr>
          <w:rFonts w:hint="eastAsia" w:ascii="宋体" w:hAnsi="宋体" w:cs="宋体"/>
          <w:b w:val="0"/>
          <w:bCs/>
          <w:color w:val="auto"/>
          <w:szCs w:val="21"/>
          <w:highlight w:val="none"/>
        </w:rPr>
      </w:pPr>
    </w:p>
    <w:p w14:paraId="7F034DFE">
      <w:pPr>
        <w:pStyle w:val="2"/>
        <w:spacing w:after="0" w:line="360" w:lineRule="auto"/>
        <w:rPr>
          <w:rFonts w:hint="eastAsia" w:ascii="宋体" w:hAnsi="宋体" w:cs="宋体"/>
          <w:b w:val="0"/>
          <w:bCs/>
          <w:color w:val="auto"/>
          <w:szCs w:val="21"/>
          <w:highlight w:val="none"/>
        </w:rPr>
      </w:pPr>
    </w:p>
    <w:p w14:paraId="7F034DFF">
      <w:pPr>
        <w:tabs>
          <w:tab w:val="left" w:pos="5460"/>
        </w:tabs>
        <w:autoSpaceDE w:val="0"/>
        <w:autoSpaceDN w:val="0"/>
        <w:adjustRightInd w:val="0"/>
        <w:snapToGrid w:val="0"/>
        <w:spacing w:line="480" w:lineRule="auto"/>
        <w:ind w:firstLine="2100"/>
        <w:jc w:val="righ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w:t>
      </w:r>
      <w:r>
        <w:rPr>
          <w:rFonts w:hint="eastAsia" w:ascii="宋体" w:hAnsi="宋体" w:cs="宋体"/>
          <w:b w:val="0"/>
          <w:bCs/>
          <w:color w:val="auto"/>
          <w:spacing w:val="-1"/>
          <w:kern w:val="0"/>
          <w:szCs w:val="21"/>
          <w:highlight w:val="none"/>
        </w:rPr>
        <w:t>人</w:t>
      </w:r>
      <w:r>
        <w:rPr>
          <w:rFonts w:hint="eastAsia" w:ascii="宋体" w:hAnsi="宋体" w:cs="宋体"/>
          <w:b w:val="0"/>
          <w:bCs/>
          <w:color w:val="auto"/>
          <w:kern w:val="0"/>
          <w:szCs w:val="21"/>
          <w:highlight w:val="none"/>
        </w:rPr>
        <w:t>：</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spacing w:val="-1"/>
          <w:kern w:val="0"/>
          <w:szCs w:val="21"/>
          <w:highlight w:val="none"/>
        </w:rPr>
        <w:t>（</w:t>
      </w:r>
      <w:r>
        <w:rPr>
          <w:rFonts w:hint="eastAsia" w:ascii="宋体" w:hAnsi="宋体" w:cs="宋体"/>
          <w:b w:val="0"/>
          <w:bCs/>
          <w:color w:val="auto"/>
          <w:kern w:val="0"/>
          <w:szCs w:val="21"/>
          <w:highlight w:val="none"/>
        </w:rPr>
        <w:t>盖单位法人章）</w:t>
      </w:r>
    </w:p>
    <w:p w14:paraId="7F034E00">
      <w:pPr>
        <w:autoSpaceDE w:val="0"/>
        <w:autoSpaceDN w:val="0"/>
        <w:adjustRightInd w:val="0"/>
        <w:snapToGrid w:val="0"/>
        <w:spacing w:line="480" w:lineRule="auto"/>
        <w:jc w:val="left"/>
        <w:rPr>
          <w:rFonts w:hint="eastAsia" w:ascii="宋体" w:hAnsi="宋体" w:cs="宋体"/>
          <w:b w:val="0"/>
          <w:bCs/>
          <w:color w:val="auto"/>
          <w:kern w:val="0"/>
          <w:sz w:val="20"/>
          <w:szCs w:val="20"/>
          <w:highlight w:val="none"/>
        </w:rPr>
      </w:pPr>
    </w:p>
    <w:p w14:paraId="7F034E01">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s="宋体"/>
          <w:b w:val="0"/>
          <w:bCs/>
          <w:color w:val="auto"/>
          <w:kern w:val="0"/>
          <w:szCs w:val="21"/>
          <w:highlight w:val="none"/>
        </w:rPr>
      </w:pP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 xml:space="preserve">日  </w:t>
      </w:r>
    </w:p>
    <w:p w14:paraId="7F034E02">
      <w:pPr>
        <w:autoSpaceDE w:val="0"/>
        <w:autoSpaceDN w:val="0"/>
        <w:adjustRightInd w:val="0"/>
        <w:snapToGrid w:val="0"/>
        <w:spacing w:line="360" w:lineRule="auto"/>
        <w:jc w:val="left"/>
        <w:rPr>
          <w:rFonts w:hint="eastAsia" w:ascii="宋体" w:hAnsi="宋体" w:cs="宋体"/>
          <w:b w:val="0"/>
          <w:bCs/>
          <w:color w:val="auto"/>
          <w:kern w:val="0"/>
          <w:highlight w:val="none"/>
        </w:rPr>
      </w:pPr>
    </w:p>
    <w:p w14:paraId="7F034E03">
      <w:pPr>
        <w:autoSpaceDE w:val="0"/>
        <w:autoSpaceDN w:val="0"/>
        <w:adjustRightInd w:val="0"/>
        <w:snapToGrid w:val="0"/>
        <w:spacing w:line="360" w:lineRule="auto"/>
        <w:jc w:val="left"/>
        <w:rPr>
          <w:rFonts w:hint="eastAsia" w:ascii="宋体" w:hAnsi="宋体" w:cs="宋体"/>
          <w:b w:val="0"/>
          <w:bCs/>
          <w:color w:val="auto"/>
          <w:kern w:val="0"/>
          <w:highlight w:val="none"/>
        </w:rPr>
      </w:pPr>
    </w:p>
    <w:p w14:paraId="7F034E04">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注：法定代表人身份证明需按上述格式填写完整，不可缺少内容。在此基础上增加内容的不影响其有效性。</w:t>
      </w:r>
    </w:p>
    <w:p w14:paraId="7F034E05">
      <w:pPr>
        <w:spacing w:line="360" w:lineRule="auto"/>
        <w:ind w:firstLine="420" w:firstLineChars="200"/>
        <w:rPr>
          <w:rFonts w:hint="eastAsia" w:ascii="宋体" w:hAnsi="宋体" w:cs="宋体"/>
          <w:b w:val="0"/>
          <w:bCs/>
          <w:color w:val="auto"/>
          <w:highlight w:val="none"/>
        </w:rPr>
      </w:pPr>
    </w:p>
    <w:p w14:paraId="7F034E06">
      <w:pPr>
        <w:tabs>
          <w:tab w:val="left" w:pos="1680"/>
          <w:tab w:val="left" w:pos="4215"/>
          <w:tab w:val="left" w:pos="4305"/>
          <w:tab w:val="left" w:pos="8000"/>
        </w:tabs>
        <w:autoSpaceDE w:val="0"/>
        <w:autoSpaceDN w:val="0"/>
        <w:adjustRightInd w:val="0"/>
        <w:snapToGrid w:val="0"/>
        <w:spacing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kern w:val="0"/>
          <w:highlight w:val="none"/>
        </w:rPr>
        <w:br w:type="page"/>
      </w:r>
      <w:r>
        <w:rPr>
          <w:rFonts w:hint="eastAsia" w:ascii="宋体" w:hAnsi="宋体" w:cs="宋体"/>
          <w:b w:val="0"/>
          <w:bCs/>
          <w:snapToGrid w:val="0"/>
          <w:color w:val="auto"/>
          <w:kern w:val="0"/>
          <w:sz w:val="32"/>
          <w:szCs w:val="32"/>
          <w:highlight w:val="none"/>
        </w:rPr>
        <w:t>授权委托书</w:t>
      </w:r>
    </w:p>
    <w:p w14:paraId="7F034E07">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b w:val="0"/>
          <w:bCs/>
          <w:color w:val="auto"/>
          <w:kern w:val="0"/>
          <w:szCs w:val="21"/>
          <w:highlight w:val="none"/>
        </w:rPr>
      </w:pPr>
    </w:p>
    <w:p w14:paraId="7F034E08">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本人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（姓名）</w:t>
      </w:r>
      <w:r>
        <w:rPr>
          <w:rFonts w:hint="eastAsia" w:ascii="宋体" w:hAnsi="宋体" w:cs="宋体"/>
          <w:b w:val="0"/>
          <w:bCs/>
          <w:color w:val="auto"/>
          <w:kern w:val="0"/>
          <w:szCs w:val="21"/>
          <w:highlight w:val="none"/>
        </w:rPr>
        <w:t>系</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w:t>
      </w:r>
      <w:r>
        <w:rPr>
          <w:rFonts w:hint="eastAsia" w:ascii="宋体" w:hAnsi="宋体" w:cs="宋体"/>
          <w:b w:val="0"/>
          <w:bCs/>
          <w:color w:val="auto"/>
          <w:spacing w:val="-1"/>
          <w:kern w:val="0"/>
          <w:szCs w:val="21"/>
          <w:highlight w:val="none"/>
          <w:u w:val="single"/>
        </w:rPr>
        <w:t>投</w:t>
      </w:r>
      <w:r>
        <w:rPr>
          <w:rFonts w:hint="eastAsia" w:ascii="宋体" w:hAnsi="宋体" w:cs="宋体"/>
          <w:b w:val="0"/>
          <w:bCs/>
          <w:color w:val="auto"/>
          <w:kern w:val="0"/>
          <w:szCs w:val="21"/>
          <w:highlight w:val="none"/>
          <w:u w:val="single"/>
        </w:rPr>
        <w:t>标人名称</w:t>
      </w:r>
      <w:r>
        <w:rPr>
          <w:rFonts w:hint="eastAsia" w:ascii="宋体" w:hAnsi="宋体" w:cs="宋体"/>
          <w:b w:val="0"/>
          <w:bCs/>
          <w:color w:val="auto"/>
          <w:spacing w:val="1"/>
          <w:kern w:val="0"/>
          <w:szCs w:val="21"/>
          <w:highlight w:val="none"/>
          <w:u w:val="single"/>
        </w:rPr>
        <w:t>）</w:t>
      </w:r>
      <w:r>
        <w:rPr>
          <w:rFonts w:hint="eastAsia" w:ascii="宋体" w:hAnsi="宋体" w:cs="宋体"/>
          <w:b w:val="0"/>
          <w:bCs/>
          <w:color w:val="auto"/>
          <w:kern w:val="0"/>
          <w:szCs w:val="21"/>
          <w:highlight w:val="none"/>
        </w:rPr>
        <w:t>的法定代</w:t>
      </w:r>
      <w:r>
        <w:rPr>
          <w:rFonts w:hint="eastAsia" w:ascii="宋体" w:hAnsi="宋体" w:cs="宋体"/>
          <w:b w:val="0"/>
          <w:bCs/>
          <w:color w:val="auto"/>
          <w:spacing w:val="1"/>
          <w:kern w:val="0"/>
          <w:szCs w:val="21"/>
          <w:highlight w:val="none"/>
        </w:rPr>
        <w:t>表</w:t>
      </w:r>
      <w:r>
        <w:rPr>
          <w:rFonts w:hint="eastAsia" w:ascii="宋体" w:hAnsi="宋体" w:cs="宋体"/>
          <w:b w:val="0"/>
          <w:bCs/>
          <w:color w:val="auto"/>
          <w:kern w:val="0"/>
          <w:szCs w:val="21"/>
          <w:highlight w:val="none"/>
        </w:rPr>
        <w:t>人，现委托</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（姓名）</w:t>
      </w:r>
      <w:r>
        <w:rPr>
          <w:rFonts w:hint="eastAsia" w:ascii="宋体" w:hAnsi="宋体" w:cs="宋体"/>
          <w:b w:val="0"/>
          <w:bCs/>
          <w:color w:val="auto"/>
          <w:kern w:val="0"/>
          <w:szCs w:val="21"/>
          <w:highlight w:val="none"/>
        </w:rPr>
        <w:t>为我方代理人。代理人根据授权，代表我方签署、澄清、说明、补正、递交、撤回、 修改</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（项</w:t>
      </w:r>
      <w:r>
        <w:rPr>
          <w:rFonts w:hint="eastAsia" w:ascii="宋体" w:hAnsi="宋体" w:cs="宋体"/>
          <w:b w:val="0"/>
          <w:bCs/>
          <w:color w:val="auto"/>
          <w:spacing w:val="-1"/>
          <w:kern w:val="0"/>
          <w:szCs w:val="21"/>
          <w:highlight w:val="none"/>
          <w:u w:val="single"/>
        </w:rPr>
        <w:t>目</w:t>
      </w:r>
      <w:r>
        <w:rPr>
          <w:rFonts w:hint="eastAsia" w:ascii="宋体" w:hAnsi="宋体" w:cs="宋体"/>
          <w:b w:val="0"/>
          <w:bCs/>
          <w:color w:val="auto"/>
          <w:kern w:val="0"/>
          <w:szCs w:val="21"/>
          <w:highlight w:val="none"/>
          <w:u w:val="single"/>
        </w:rPr>
        <w:t>名称）</w:t>
      </w:r>
      <w:r>
        <w:rPr>
          <w:rFonts w:hint="eastAsia" w:ascii="宋体" w:hAnsi="宋体" w:cs="宋体"/>
          <w:b w:val="0"/>
          <w:bCs/>
          <w:color w:val="auto"/>
          <w:kern w:val="0"/>
          <w:szCs w:val="21"/>
          <w:highlight w:val="none"/>
        </w:rPr>
        <w:t>投标文件、签订合同和处理有关事宜， 其法律后果由我方承担。</w:t>
      </w:r>
    </w:p>
    <w:p w14:paraId="7F034E0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委托</w:t>
      </w:r>
      <w:r>
        <w:rPr>
          <w:rFonts w:hint="eastAsia" w:ascii="宋体" w:hAnsi="宋体" w:cs="宋体"/>
          <w:b w:val="0"/>
          <w:bCs/>
          <w:color w:val="auto"/>
          <w:spacing w:val="-1"/>
          <w:kern w:val="0"/>
          <w:szCs w:val="21"/>
          <w:highlight w:val="none"/>
        </w:rPr>
        <w:t>期</w:t>
      </w:r>
      <w:r>
        <w:rPr>
          <w:rFonts w:hint="eastAsia" w:ascii="宋体" w:hAnsi="宋体" w:cs="宋体"/>
          <w:b w:val="0"/>
          <w:bCs/>
          <w:color w:val="auto"/>
          <w:kern w:val="0"/>
          <w:szCs w:val="21"/>
          <w:highlight w:val="none"/>
        </w:rPr>
        <w:t>限：</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 xml:space="preserve">。 </w:t>
      </w:r>
    </w:p>
    <w:p w14:paraId="7F034E0A">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代理人无转委托权。</w:t>
      </w:r>
    </w:p>
    <w:p w14:paraId="7F034E0B">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p>
    <w:p w14:paraId="7F034E0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  标  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盖单位法人章</w:t>
      </w:r>
      <w:r>
        <w:rPr>
          <w:rFonts w:hint="eastAsia" w:ascii="宋体" w:hAnsi="宋体" w:cs="宋体"/>
          <w:b w:val="0"/>
          <w:bCs/>
          <w:color w:val="auto"/>
          <w:kern w:val="0"/>
          <w:szCs w:val="21"/>
          <w:highlight w:val="none"/>
        </w:rPr>
        <w:t>）</w:t>
      </w:r>
    </w:p>
    <w:p w14:paraId="7F034E0D">
      <w:pPr>
        <w:tabs>
          <w:tab w:val="left" w:pos="630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法定代表人：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（签名或盖章）</w:t>
      </w:r>
    </w:p>
    <w:p w14:paraId="7F034E0E">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身份证号码：</w:t>
      </w:r>
      <w:r>
        <w:rPr>
          <w:rFonts w:hint="eastAsia" w:ascii="宋体" w:hAnsi="宋体" w:cs="宋体"/>
          <w:b w:val="0"/>
          <w:bCs/>
          <w:color w:val="auto"/>
          <w:w w:val="200"/>
          <w:kern w:val="0"/>
          <w:szCs w:val="21"/>
          <w:highlight w:val="none"/>
          <w:u w:val="single"/>
        </w:rPr>
        <w:t xml:space="preserve">                           </w:t>
      </w:r>
    </w:p>
    <w:p w14:paraId="7F034E0F">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委托代理人：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（签名）</w:t>
      </w:r>
    </w:p>
    <w:p w14:paraId="7F034E10">
      <w:pPr>
        <w:tabs>
          <w:tab w:val="left" w:pos="6825"/>
        </w:tabs>
        <w:autoSpaceDE w:val="0"/>
        <w:autoSpaceDN w:val="0"/>
        <w:adjustRightInd w:val="0"/>
        <w:snapToGrid w:val="0"/>
        <w:spacing w:line="480" w:lineRule="auto"/>
        <w:ind w:firstLine="420" w:firstLineChars="200"/>
        <w:jc w:val="left"/>
        <w:rPr>
          <w:rFonts w:hint="eastAsia" w:ascii="宋体" w:hAnsi="宋体" w:cs="宋体"/>
          <w:b w:val="0"/>
          <w:bCs/>
          <w:color w:val="auto"/>
          <w:w w:val="200"/>
          <w:kern w:val="0"/>
          <w:szCs w:val="21"/>
          <w:highlight w:val="none"/>
          <w:u w:val="single"/>
        </w:rPr>
      </w:pPr>
      <w:r>
        <w:rPr>
          <w:rFonts w:hint="eastAsia" w:ascii="宋体" w:hAnsi="宋体" w:cs="宋体"/>
          <w:b w:val="0"/>
          <w:bCs/>
          <w:color w:val="auto"/>
          <w:kern w:val="0"/>
          <w:szCs w:val="21"/>
          <w:highlight w:val="none"/>
        </w:rPr>
        <w:t>身份证号码：</w:t>
      </w:r>
      <w:r>
        <w:rPr>
          <w:rFonts w:hint="eastAsia" w:ascii="宋体" w:hAnsi="宋体" w:cs="宋体"/>
          <w:b w:val="0"/>
          <w:bCs/>
          <w:color w:val="auto"/>
          <w:w w:val="200"/>
          <w:kern w:val="0"/>
          <w:szCs w:val="21"/>
          <w:highlight w:val="none"/>
          <w:u w:val="single"/>
        </w:rPr>
        <w:t xml:space="preserve">                           </w:t>
      </w:r>
    </w:p>
    <w:p w14:paraId="7F034E11">
      <w:pPr>
        <w:tabs>
          <w:tab w:val="left" w:pos="6825"/>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单位电话（座机）：</w:t>
      </w:r>
      <w:r>
        <w:rPr>
          <w:rFonts w:hint="eastAsia" w:ascii="宋体" w:hAnsi="宋体" w:cs="宋体"/>
          <w:b w:val="0"/>
          <w:bCs/>
          <w:color w:val="auto"/>
          <w:kern w:val="0"/>
          <w:szCs w:val="21"/>
          <w:highlight w:val="none"/>
          <w:u w:val="single"/>
        </w:rPr>
        <w:t xml:space="preserve">                              </w:t>
      </w:r>
    </w:p>
    <w:p w14:paraId="7F034E12">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委托代理人电话（手机）：                                          </w:t>
      </w:r>
    </w:p>
    <w:p w14:paraId="7F034E13">
      <w:pPr>
        <w:autoSpaceDE w:val="0"/>
        <w:autoSpaceDN w:val="0"/>
        <w:adjustRightInd w:val="0"/>
        <w:snapToGrid w:val="0"/>
        <w:spacing w:line="480" w:lineRule="auto"/>
        <w:ind w:firstLine="810" w:firstLineChars="3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附：法定代表人和委托代理人身份证明扫描件（双面）</w:t>
      </w:r>
    </w:p>
    <w:p w14:paraId="7F034E14">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5">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6">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7">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8">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9">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1A">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b w:val="0"/>
          <w:bCs/>
          <w:color w:val="auto"/>
          <w:kern w:val="0"/>
          <w:szCs w:val="21"/>
          <w:highlight w:val="none"/>
        </w:rPr>
      </w:pP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 xml:space="preserve">日 </w:t>
      </w:r>
    </w:p>
    <w:p w14:paraId="7F034E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kern w:val="0"/>
          <w:szCs w:val="21"/>
          <w:highlight w:val="none"/>
        </w:rPr>
      </w:pPr>
    </w:p>
    <w:p w14:paraId="7F034E1C">
      <w:pPr>
        <w:tabs>
          <w:tab w:val="left" w:pos="5760"/>
        </w:tabs>
        <w:autoSpaceDE w:val="0"/>
        <w:autoSpaceDN w:val="0"/>
        <w:adjustRightInd w:val="0"/>
        <w:spacing w:line="360" w:lineRule="auto"/>
        <w:ind w:firstLine="420" w:firstLineChars="200"/>
        <w:rPr>
          <w:rFonts w:hint="eastAsia" w:ascii="宋体" w:hAnsi="宋体" w:cs="宋体"/>
          <w:b w:val="0"/>
          <w:bCs/>
          <w:color w:val="auto"/>
          <w:kern w:val="0"/>
          <w:highlight w:val="none"/>
        </w:rPr>
      </w:pPr>
    </w:p>
    <w:p w14:paraId="7F034E1D">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7F034E1E">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kern w:val="0"/>
          <w:szCs w:val="21"/>
          <w:highlight w:val="none"/>
        </w:rPr>
        <w:t>2.</w:t>
      </w:r>
      <w:r>
        <w:rPr>
          <w:rFonts w:hint="eastAsia" w:ascii="宋体" w:hAnsi="宋体" w:cs="宋体"/>
          <w:b w:val="0"/>
          <w:bCs/>
          <w:color w:val="auto"/>
          <w:highlight w:val="none"/>
        </w:rPr>
        <w:t>授权委托书需按上述格式填写完整，不可缺少内容。在此基础上增加内容的不影响其有效性。</w:t>
      </w:r>
    </w:p>
    <w:p w14:paraId="7F034E1F">
      <w:pPr>
        <w:rPr>
          <w:rFonts w:ascii="宋体" w:hAnsi="宋体" w:cs="宋体"/>
          <w:b w:val="0"/>
          <w:bCs/>
          <w:color w:val="auto"/>
          <w:highlight w:val="none"/>
        </w:rPr>
      </w:pPr>
      <w:r>
        <w:rPr>
          <w:rFonts w:ascii="宋体" w:hAnsi="宋体" w:cs="宋体"/>
          <w:b w:val="0"/>
          <w:bCs/>
          <w:color w:val="auto"/>
          <w:highlight w:val="none"/>
        </w:rPr>
        <w:br w:type="page"/>
      </w:r>
    </w:p>
    <w:p w14:paraId="7F034E20">
      <w:pPr>
        <w:tabs>
          <w:tab w:val="left" w:pos="2580"/>
          <w:tab w:val="left" w:pos="5940"/>
        </w:tabs>
        <w:autoSpaceDE w:val="0"/>
        <w:autoSpaceDN w:val="0"/>
        <w:adjustRightInd w:val="0"/>
        <w:snapToGrid w:val="0"/>
        <w:spacing w:line="360" w:lineRule="auto"/>
        <w:jc w:val="left"/>
        <w:rPr>
          <w:rFonts w:hint="eastAsia" w:ascii="宋体" w:hAnsi="宋体" w:cs="宋体"/>
          <w:b w:val="0"/>
          <w:bCs/>
          <w:color w:val="auto"/>
          <w:highlight w:val="none"/>
        </w:rPr>
      </w:pPr>
      <w:bookmarkStart w:id="1010" w:name="_Toc287607872"/>
      <w:bookmarkStart w:id="1011" w:name="_Toc430530534"/>
      <w:bookmarkStart w:id="1012" w:name="_Toc224103500"/>
      <w:bookmarkStart w:id="1013" w:name="_Toc287620819"/>
    </w:p>
    <w:p w14:paraId="7F034E21">
      <w:pPr>
        <w:pStyle w:val="4"/>
        <w:spacing w:line="360" w:lineRule="auto"/>
        <w:jc w:val="center"/>
        <w:rPr>
          <w:rFonts w:hint="eastAsia" w:ascii="宋体" w:hAnsi="宋体" w:cs="宋体"/>
          <w:b w:val="0"/>
          <w:bCs/>
          <w:color w:val="auto"/>
          <w:sz w:val="44"/>
          <w:szCs w:val="44"/>
          <w:highlight w:val="none"/>
        </w:rPr>
      </w:pPr>
      <w:bookmarkStart w:id="1014" w:name="_Toc22746"/>
      <w:r>
        <w:rPr>
          <w:rFonts w:hint="eastAsia" w:ascii="宋体" w:hAnsi="宋体" w:cs="宋体"/>
          <w:b w:val="0"/>
          <w:bCs/>
          <w:color w:val="auto"/>
          <w:sz w:val="44"/>
          <w:szCs w:val="44"/>
          <w:highlight w:val="none"/>
        </w:rPr>
        <w:t>二、商务部分</w:t>
      </w:r>
      <w:bookmarkEnd w:id="1010"/>
      <w:bookmarkEnd w:id="1011"/>
      <w:bookmarkEnd w:id="1012"/>
      <w:bookmarkEnd w:id="1013"/>
      <w:bookmarkEnd w:id="1014"/>
    </w:p>
    <w:p w14:paraId="7F034E22">
      <w:pPr>
        <w:spacing w:line="360" w:lineRule="auto"/>
        <w:jc w:val="center"/>
        <w:rPr>
          <w:rFonts w:ascii="宋体" w:hAnsi="宋体" w:cs="宋体"/>
          <w:b w:val="0"/>
          <w:bCs/>
          <w:i/>
          <w:iCs/>
          <w:color w:val="auto"/>
          <w:highlight w:val="none"/>
        </w:rPr>
      </w:pPr>
      <w:r>
        <w:rPr>
          <w:rFonts w:ascii="宋体" w:hAnsi="宋体" w:cs="宋体"/>
          <w:b w:val="0"/>
          <w:bCs/>
          <w:i/>
          <w:iCs/>
          <w:color w:val="auto"/>
          <w:highlight w:val="none"/>
        </w:rPr>
        <w:t>[</w:t>
      </w:r>
      <w:r>
        <w:rPr>
          <w:rFonts w:hint="eastAsia" w:ascii="宋体" w:hAnsi="宋体" w:cs="宋体"/>
          <w:b w:val="0"/>
          <w:bCs/>
          <w:i/>
          <w:iCs/>
          <w:color w:val="auto"/>
          <w:highlight w:val="none"/>
        </w:rPr>
        <w:t>提示：不设置商务评审的不设此部分]</w:t>
      </w:r>
    </w:p>
    <w:p w14:paraId="7F034E23">
      <w:pPr>
        <w:pStyle w:val="2"/>
        <w:rPr>
          <w:rFonts w:ascii="宋体" w:hAnsi="宋体" w:cs="宋体"/>
          <w:b w:val="0"/>
          <w:bCs/>
          <w:i/>
          <w:iCs/>
          <w:color w:val="auto"/>
          <w:highlight w:val="none"/>
        </w:rPr>
      </w:pPr>
    </w:p>
    <w:p w14:paraId="7F034E24">
      <w:pPr>
        <w:rPr>
          <w:rFonts w:ascii="宋体" w:hAnsi="宋体" w:cs="宋体"/>
          <w:b w:val="0"/>
          <w:bCs/>
          <w:color w:val="auto"/>
          <w:highlight w:val="none"/>
        </w:rPr>
      </w:pPr>
    </w:p>
    <w:p w14:paraId="7F034E25">
      <w:pPr>
        <w:spacing w:line="360" w:lineRule="auto"/>
        <w:jc w:val="center"/>
        <w:rPr>
          <w:rFonts w:hint="eastAsia" w:ascii="宋体" w:hAnsi="宋体" w:cs="宋体"/>
          <w:b w:val="0"/>
          <w:bCs/>
          <w:color w:val="auto"/>
          <w:kern w:val="0"/>
          <w:sz w:val="32"/>
          <w:szCs w:val="32"/>
          <w:highlight w:val="none"/>
        </w:rPr>
      </w:pPr>
      <w:r>
        <w:rPr>
          <w:rFonts w:hint="eastAsia" w:ascii="宋体" w:hAnsi="宋体" w:cs="宋体"/>
          <w:b w:val="0"/>
          <w:bCs/>
          <w:color w:val="auto"/>
          <w:kern w:val="0"/>
          <w:sz w:val="28"/>
          <w:szCs w:val="28"/>
          <w:highlight w:val="none"/>
        </w:rPr>
        <w:br w:type="page"/>
      </w:r>
      <w:r>
        <w:rPr>
          <w:rFonts w:hint="eastAsia" w:ascii="宋体" w:hAnsi="宋体" w:cs="宋体"/>
          <w:b w:val="0"/>
          <w:bCs/>
          <w:color w:val="auto"/>
          <w:kern w:val="0"/>
          <w:sz w:val="32"/>
          <w:szCs w:val="32"/>
          <w:highlight w:val="none"/>
          <w:u w:val="single"/>
        </w:rPr>
        <w:t xml:space="preserve">                   （项目名称）</w:t>
      </w:r>
    </w:p>
    <w:p w14:paraId="7F034E26">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27">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28">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29">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2A">
      <w:pPr>
        <w:tabs>
          <w:tab w:val="left" w:pos="3600"/>
          <w:tab w:val="left" w:pos="4480"/>
          <w:tab w:val="left" w:pos="5360"/>
        </w:tabs>
        <w:autoSpaceDE w:val="0"/>
        <w:autoSpaceDN w:val="0"/>
        <w:adjustRightInd w:val="0"/>
        <w:snapToGrid w:val="0"/>
        <w:spacing w:line="360" w:lineRule="auto"/>
        <w:jc w:val="center"/>
        <w:rPr>
          <w:rFonts w:hint="eastAsia" w:ascii="宋体" w:hAnsi="宋体" w:cs="宋体"/>
          <w:b w:val="0"/>
          <w:bCs/>
          <w:color w:val="auto"/>
          <w:kern w:val="0"/>
          <w:sz w:val="72"/>
          <w:szCs w:val="72"/>
          <w:highlight w:val="none"/>
        </w:rPr>
      </w:pPr>
      <w:r>
        <w:rPr>
          <w:rFonts w:hint="eastAsia" w:ascii="宋体" w:hAnsi="宋体" w:cs="宋体"/>
          <w:b w:val="0"/>
          <w:bCs/>
          <w:color w:val="auto"/>
          <w:kern w:val="0"/>
          <w:sz w:val="72"/>
          <w:szCs w:val="72"/>
          <w:highlight w:val="none"/>
        </w:rPr>
        <w:t>投 标 文 件</w:t>
      </w:r>
    </w:p>
    <w:p w14:paraId="7F034E2B">
      <w:pPr>
        <w:autoSpaceDE w:val="0"/>
        <w:autoSpaceDN w:val="0"/>
        <w:adjustRightInd w:val="0"/>
        <w:snapToGrid w:val="0"/>
        <w:spacing w:line="360" w:lineRule="auto"/>
        <w:jc w:val="left"/>
        <w:rPr>
          <w:rFonts w:hint="eastAsia" w:ascii="宋体" w:hAnsi="宋体" w:cs="宋体"/>
          <w:b w:val="0"/>
          <w:bCs/>
          <w:color w:val="auto"/>
          <w:kern w:val="0"/>
          <w:sz w:val="16"/>
          <w:szCs w:val="16"/>
          <w:highlight w:val="none"/>
        </w:rPr>
      </w:pPr>
    </w:p>
    <w:p w14:paraId="7F034E2C">
      <w:pPr>
        <w:autoSpaceDE w:val="0"/>
        <w:autoSpaceDN w:val="0"/>
        <w:adjustRightInd w:val="0"/>
        <w:snapToGrid w:val="0"/>
        <w:spacing w:line="360" w:lineRule="auto"/>
        <w:jc w:val="center"/>
        <w:rPr>
          <w:rFonts w:hint="eastAsia" w:ascii="宋体" w:hAnsi="宋体" w:cs="宋体"/>
          <w:b w:val="0"/>
          <w:bCs/>
          <w:color w:val="auto"/>
          <w:kern w:val="0"/>
          <w:sz w:val="36"/>
          <w:szCs w:val="36"/>
          <w:highlight w:val="none"/>
        </w:rPr>
      </w:pPr>
      <w:r>
        <w:rPr>
          <w:rFonts w:hint="eastAsia" w:ascii="宋体" w:hAnsi="宋体" w:cs="宋体"/>
          <w:b w:val="0"/>
          <w:bCs/>
          <w:color w:val="auto"/>
          <w:kern w:val="0"/>
          <w:sz w:val="36"/>
          <w:szCs w:val="36"/>
          <w:highlight w:val="none"/>
        </w:rPr>
        <w:t>商务部分</w:t>
      </w:r>
    </w:p>
    <w:p w14:paraId="7F034E2D">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2E">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2F">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0">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1">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2">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3">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4">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5">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6">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7">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8">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9">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3A">
      <w:pPr>
        <w:tabs>
          <w:tab w:val="left" w:pos="6080"/>
          <w:tab w:val="left" w:pos="6640"/>
        </w:tabs>
        <w:autoSpaceDE w:val="0"/>
        <w:autoSpaceDN w:val="0"/>
        <w:adjustRightInd w:val="0"/>
        <w:snapToGrid w:val="0"/>
        <w:spacing w:after="156" w:afterLines="50" w:line="36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w w:val="99"/>
          <w:kern w:val="0"/>
          <w:sz w:val="28"/>
          <w:szCs w:val="28"/>
          <w:highlight w:val="none"/>
        </w:rPr>
        <w:t>投标人</w:t>
      </w:r>
      <w:r>
        <w:rPr>
          <w:rFonts w:hint="eastAsia" w:ascii="宋体" w:hAnsi="宋体" w:cs="宋体"/>
          <w:b w:val="0"/>
          <w:bCs/>
          <w:color w:val="auto"/>
          <w:spacing w:val="1"/>
          <w:w w:val="99"/>
          <w:kern w:val="0"/>
          <w:sz w:val="28"/>
          <w:szCs w:val="28"/>
          <w:highlight w:val="none"/>
        </w:rPr>
        <w:t>：</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（盖单位法人章）</w:t>
      </w:r>
    </w:p>
    <w:p w14:paraId="7F034E3B">
      <w:pPr>
        <w:tabs>
          <w:tab w:val="left" w:pos="6080"/>
          <w:tab w:val="left" w:pos="6640"/>
        </w:tabs>
        <w:autoSpaceDE w:val="0"/>
        <w:autoSpaceDN w:val="0"/>
        <w:adjustRightInd w:val="0"/>
        <w:snapToGrid w:val="0"/>
        <w:spacing w:after="156" w:afterLines="50"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w w:val="99"/>
          <w:kern w:val="0"/>
          <w:sz w:val="28"/>
          <w:szCs w:val="28"/>
          <w:highlight w:val="none"/>
        </w:rPr>
        <w:t>法定代表人或其委托代理人：</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（签名或盖章）</w:t>
      </w:r>
    </w:p>
    <w:p w14:paraId="7F034E3C">
      <w:pPr>
        <w:tabs>
          <w:tab w:val="left" w:pos="3280"/>
          <w:tab w:val="left" w:pos="4680"/>
          <w:tab w:val="left" w:pos="6080"/>
        </w:tabs>
        <w:autoSpaceDE w:val="0"/>
        <w:autoSpaceDN w:val="0"/>
        <w:adjustRightInd w:val="0"/>
        <w:snapToGrid w:val="0"/>
        <w:spacing w:after="156" w:afterLines="50"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年</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月</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日</w:t>
      </w:r>
    </w:p>
    <w:p w14:paraId="7F034E3D">
      <w:pPr>
        <w:autoSpaceDE w:val="0"/>
        <w:autoSpaceDN w:val="0"/>
        <w:adjustRightInd w:val="0"/>
        <w:snapToGrid w:val="0"/>
        <w:spacing w:line="360" w:lineRule="auto"/>
        <w:jc w:val="left"/>
        <w:rPr>
          <w:rFonts w:hint="eastAsia" w:ascii="宋体" w:hAnsi="宋体" w:cs="宋体"/>
          <w:b w:val="0"/>
          <w:bCs/>
          <w:color w:val="auto"/>
          <w:kern w:val="0"/>
          <w:sz w:val="24"/>
          <w:szCs w:val="21"/>
          <w:highlight w:val="none"/>
        </w:rPr>
      </w:pPr>
      <w:r>
        <w:rPr>
          <w:rFonts w:hint="eastAsia" w:ascii="宋体" w:hAnsi="宋体" w:cs="宋体"/>
          <w:b w:val="0"/>
          <w:bCs/>
          <w:color w:val="auto"/>
          <w:kern w:val="0"/>
          <w:sz w:val="24"/>
          <w:szCs w:val="21"/>
          <w:highlight w:val="none"/>
        </w:rPr>
        <w:br w:type="page"/>
      </w:r>
    </w:p>
    <w:p w14:paraId="7F034E3E">
      <w:pPr>
        <w:autoSpaceDE w:val="0"/>
        <w:autoSpaceDN w:val="0"/>
        <w:adjustRightInd w:val="0"/>
        <w:snapToGrid w:val="0"/>
        <w:spacing w:line="360" w:lineRule="auto"/>
        <w:jc w:val="center"/>
        <w:rPr>
          <w:rFonts w:hint="eastAsia" w:ascii="宋体" w:hAnsi="宋体" w:cs="宋体"/>
          <w:b w:val="0"/>
          <w:bCs/>
          <w:color w:val="auto"/>
          <w:kern w:val="0"/>
          <w:szCs w:val="21"/>
          <w:highlight w:val="none"/>
        </w:rPr>
      </w:pPr>
      <w:r>
        <w:rPr>
          <w:rFonts w:hint="eastAsia" w:ascii="宋体" w:hAnsi="宋体" w:cs="宋体"/>
          <w:b w:val="0"/>
          <w:bCs/>
          <w:color w:val="auto"/>
          <w:kern w:val="0"/>
          <w:sz w:val="36"/>
          <w:szCs w:val="36"/>
          <w:highlight w:val="none"/>
        </w:rPr>
        <w:t>目  录</w:t>
      </w:r>
    </w:p>
    <w:p w14:paraId="7F034E3F">
      <w:pPr>
        <w:autoSpaceDE w:val="0"/>
        <w:autoSpaceDN w:val="0"/>
        <w:adjustRightInd w:val="0"/>
        <w:snapToGrid w:val="0"/>
        <w:spacing w:line="360" w:lineRule="auto"/>
        <w:jc w:val="left"/>
        <w:rPr>
          <w:rFonts w:hint="eastAsia" w:ascii="宋体" w:hAnsi="宋体" w:cs="宋体"/>
          <w:b w:val="0"/>
          <w:bCs/>
          <w:color w:val="auto"/>
          <w:kern w:val="0"/>
          <w:szCs w:val="21"/>
          <w:highlight w:val="none"/>
        </w:rPr>
      </w:pPr>
    </w:p>
    <w:p w14:paraId="7F034E40">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（一）供货要求负偏差表（如有）</w:t>
      </w:r>
    </w:p>
    <w:p w14:paraId="7F034E41">
      <w:pPr>
        <w:autoSpaceDE w:val="0"/>
        <w:autoSpaceDN w:val="0"/>
        <w:adjustRightInd w:val="0"/>
        <w:snapToGrid w:val="0"/>
        <w:spacing w:line="360" w:lineRule="auto"/>
        <w:ind w:firstLine="420"/>
        <w:rPr>
          <w:rFonts w:hint="eastAsia" w:ascii="宋体" w:hAnsi="宋体" w:cs="宋体"/>
          <w:b w:val="0"/>
          <w:bCs/>
          <w:color w:val="auto"/>
          <w:highlight w:val="none"/>
        </w:rPr>
      </w:pPr>
      <w:r>
        <w:rPr>
          <w:rFonts w:hint="eastAsia" w:ascii="宋体" w:hAnsi="宋体" w:cs="宋体"/>
          <w:b w:val="0"/>
          <w:bCs/>
          <w:color w:val="auto"/>
          <w:highlight w:val="none"/>
        </w:rPr>
        <w:t>（二）其他资料（如有）</w:t>
      </w:r>
    </w:p>
    <w:p w14:paraId="7F034E42">
      <w:pPr>
        <w:pStyle w:val="2"/>
        <w:rPr>
          <w:rFonts w:ascii="宋体" w:hAnsi="宋体" w:cs="宋体"/>
          <w:b w:val="0"/>
          <w:bCs/>
          <w:color w:val="auto"/>
          <w:highlight w:val="none"/>
        </w:rPr>
      </w:pPr>
    </w:p>
    <w:p w14:paraId="7F034E43">
      <w:pPr>
        <w:widowControl/>
        <w:jc w:val="left"/>
        <w:rPr>
          <w:rFonts w:hint="eastAsia" w:ascii="宋体" w:hAnsi="宋体" w:cs="宋体"/>
          <w:b w:val="0"/>
          <w:bCs/>
          <w:iCs/>
          <w:color w:val="auto"/>
          <w:kern w:val="0"/>
          <w:szCs w:val="21"/>
          <w:highlight w:val="none"/>
        </w:rPr>
      </w:pPr>
      <w:r>
        <w:rPr>
          <w:rFonts w:hint="eastAsia" w:ascii="宋体" w:hAnsi="宋体" w:cs="宋体"/>
          <w:b w:val="0"/>
          <w:bCs/>
          <w:iCs/>
          <w:color w:val="auto"/>
          <w:kern w:val="0"/>
          <w:szCs w:val="21"/>
          <w:highlight w:val="none"/>
        </w:rPr>
        <w:br w:type="page"/>
      </w:r>
    </w:p>
    <w:p w14:paraId="7F034E44">
      <w:pPr>
        <w:autoSpaceDE w:val="0"/>
        <w:autoSpaceDN w:val="0"/>
        <w:adjustRightInd w:val="0"/>
        <w:snapToGrid w:val="0"/>
        <w:spacing w:line="360" w:lineRule="auto"/>
        <w:ind w:firstLine="420" w:firstLineChars="200"/>
        <w:jc w:val="left"/>
        <w:rPr>
          <w:rFonts w:hint="eastAsia" w:ascii="宋体" w:hAnsi="宋体" w:cs="宋体"/>
          <w:b w:val="0"/>
          <w:bCs/>
          <w:color w:val="auto"/>
          <w:highlight w:val="none"/>
        </w:rPr>
      </w:pPr>
    </w:p>
    <w:p w14:paraId="7F034E45">
      <w:pPr>
        <w:pStyle w:val="2"/>
        <w:jc w:val="center"/>
        <w:rPr>
          <w:rFonts w:ascii="宋体" w:hAnsi="宋体" w:cs="宋体"/>
          <w:b w:val="0"/>
          <w:bCs/>
          <w:color w:val="auto"/>
          <w:highlight w:val="none"/>
        </w:rPr>
      </w:pPr>
      <w:r>
        <w:rPr>
          <w:rFonts w:hint="eastAsia" w:ascii="宋体" w:hAnsi="宋体" w:cs="宋体"/>
          <w:b w:val="0"/>
          <w:bCs/>
          <w:iCs/>
          <w:color w:val="auto"/>
          <w:kern w:val="0"/>
          <w:sz w:val="36"/>
          <w:szCs w:val="36"/>
          <w:highlight w:val="none"/>
        </w:rPr>
        <w:t>（一）供货要求负偏差表（如有）</w:t>
      </w:r>
    </w:p>
    <w:p w14:paraId="7F034E46">
      <w:pPr>
        <w:rPr>
          <w:rFonts w:ascii="宋体" w:hAnsi="宋体" w:cs="宋体"/>
          <w:b w:val="0"/>
          <w:bCs/>
          <w:color w:val="auto"/>
          <w:highlight w:val="none"/>
        </w:rPr>
      </w:pPr>
    </w:p>
    <w:p w14:paraId="7F034E47">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招标项目名称：</w:t>
      </w:r>
    </w:p>
    <w:tbl>
      <w:tblPr>
        <w:tblStyle w:val="46"/>
        <w:tblW w:w="9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4516"/>
        <w:gridCol w:w="1714"/>
        <w:gridCol w:w="2722"/>
      </w:tblGrid>
      <w:tr w14:paraId="7F03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36" w:type="dxa"/>
            <w:vAlign w:val="center"/>
          </w:tcPr>
          <w:p w14:paraId="7F034E48">
            <w:pPr>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序号</w:t>
            </w:r>
          </w:p>
        </w:tc>
        <w:tc>
          <w:tcPr>
            <w:tcW w:w="4516" w:type="dxa"/>
            <w:vAlign w:val="center"/>
          </w:tcPr>
          <w:p w14:paraId="7F034E49">
            <w:pPr>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供货要求</w:t>
            </w:r>
          </w:p>
        </w:tc>
        <w:tc>
          <w:tcPr>
            <w:tcW w:w="1714" w:type="dxa"/>
            <w:vAlign w:val="center"/>
          </w:tcPr>
          <w:p w14:paraId="7F034E4A">
            <w:pPr>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有无负偏差</w:t>
            </w:r>
          </w:p>
        </w:tc>
        <w:tc>
          <w:tcPr>
            <w:tcW w:w="2722" w:type="dxa"/>
            <w:vAlign w:val="center"/>
          </w:tcPr>
          <w:p w14:paraId="7F034E4B">
            <w:pPr>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偏差说明</w:t>
            </w:r>
          </w:p>
        </w:tc>
      </w:tr>
      <w:tr w14:paraId="7F03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4D">
            <w:pPr>
              <w:spacing w:line="360" w:lineRule="auto"/>
              <w:rPr>
                <w:rFonts w:hint="eastAsia" w:ascii="宋体" w:hAnsi="宋体" w:cs="宋体"/>
                <w:b w:val="0"/>
                <w:bCs/>
                <w:color w:val="auto"/>
                <w:szCs w:val="21"/>
                <w:highlight w:val="none"/>
              </w:rPr>
            </w:pPr>
          </w:p>
        </w:tc>
        <w:tc>
          <w:tcPr>
            <w:tcW w:w="4516" w:type="dxa"/>
            <w:vAlign w:val="center"/>
          </w:tcPr>
          <w:p w14:paraId="7F034E4E">
            <w:pPr>
              <w:spacing w:line="360" w:lineRule="auto"/>
              <w:rPr>
                <w:rFonts w:hint="eastAsia" w:ascii="宋体" w:hAnsi="宋体" w:cs="宋体"/>
                <w:b w:val="0"/>
                <w:bCs/>
                <w:color w:val="auto"/>
                <w:szCs w:val="21"/>
                <w:highlight w:val="none"/>
              </w:rPr>
            </w:pPr>
          </w:p>
        </w:tc>
        <w:tc>
          <w:tcPr>
            <w:tcW w:w="1714" w:type="dxa"/>
            <w:vAlign w:val="center"/>
          </w:tcPr>
          <w:p w14:paraId="7F034E4F">
            <w:pPr>
              <w:spacing w:line="360" w:lineRule="auto"/>
              <w:rPr>
                <w:rFonts w:hint="eastAsia" w:ascii="宋体" w:hAnsi="宋体" w:cs="宋体"/>
                <w:b w:val="0"/>
                <w:bCs/>
                <w:color w:val="auto"/>
                <w:szCs w:val="21"/>
                <w:highlight w:val="none"/>
              </w:rPr>
            </w:pPr>
          </w:p>
        </w:tc>
        <w:tc>
          <w:tcPr>
            <w:tcW w:w="2722" w:type="dxa"/>
            <w:vAlign w:val="center"/>
          </w:tcPr>
          <w:p w14:paraId="7F034E50">
            <w:pPr>
              <w:spacing w:line="360" w:lineRule="auto"/>
              <w:rPr>
                <w:rFonts w:hint="eastAsia" w:ascii="宋体" w:hAnsi="宋体" w:cs="宋体"/>
                <w:b w:val="0"/>
                <w:bCs/>
                <w:color w:val="auto"/>
                <w:szCs w:val="21"/>
                <w:highlight w:val="none"/>
              </w:rPr>
            </w:pPr>
          </w:p>
        </w:tc>
      </w:tr>
      <w:tr w14:paraId="7F03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52">
            <w:pPr>
              <w:spacing w:line="360" w:lineRule="auto"/>
              <w:rPr>
                <w:rFonts w:hint="eastAsia" w:ascii="宋体" w:hAnsi="宋体" w:cs="宋体"/>
                <w:b w:val="0"/>
                <w:bCs/>
                <w:color w:val="auto"/>
                <w:szCs w:val="21"/>
                <w:highlight w:val="none"/>
              </w:rPr>
            </w:pPr>
          </w:p>
        </w:tc>
        <w:tc>
          <w:tcPr>
            <w:tcW w:w="4516" w:type="dxa"/>
            <w:vAlign w:val="center"/>
          </w:tcPr>
          <w:p w14:paraId="7F034E53">
            <w:pPr>
              <w:spacing w:line="360" w:lineRule="auto"/>
              <w:rPr>
                <w:rFonts w:hint="eastAsia" w:ascii="宋体" w:hAnsi="宋体" w:cs="宋体"/>
                <w:b w:val="0"/>
                <w:bCs/>
                <w:color w:val="auto"/>
                <w:szCs w:val="21"/>
                <w:highlight w:val="none"/>
              </w:rPr>
            </w:pPr>
          </w:p>
        </w:tc>
        <w:tc>
          <w:tcPr>
            <w:tcW w:w="1714" w:type="dxa"/>
            <w:vAlign w:val="center"/>
          </w:tcPr>
          <w:p w14:paraId="7F034E54">
            <w:pPr>
              <w:spacing w:line="360" w:lineRule="auto"/>
              <w:rPr>
                <w:rFonts w:hint="eastAsia" w:ascii="宋体" w:hAnsi="宋体" w:cs="宋体"/>
                <w:b w:val="0"/>
                <w:bCs/>
                <w:color w:val="auto"/>
                <w:szCs w:val="21"/>
                <w:highlight w:val="none"/>
              </w:rPr>
            </w:pPr>
          </w:p>
        </w:tc>
        <w:tc>
          <w:tcPr>
            <w:tcW w:w="2722" w:type="dxa"/>
            <w:vAlign w:val="center"/>
          </w:tcPr>
          <w:p w14:paraId="7F034E55">
            <w:pPr>
              <w:spacing w:line="360" w:lineRule="auto"/>
              <w:rPr>
                <w:rFonts w:hint="eastAsia" w:ascii="宋体" w:hAnsi="宋体" w:cs="宋体"/>
                <w:b w:val="0"/>
                <w:bCs/>
                <w:color w:val="auto"/>
                <w:szCs w:val="21"/>
                <w:highlight w:val="none"/>
              </w:rPr>
            </w:pPr>
          </w:p>
        </w:tc>
      </w:tr>
      <w:tr w14:paraId="7F03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57">
            <w:pPr>
              <w:spacing w:line="360" w:lineRule="auto"/>
              <w:rPr>
                <w:rFonts w:hint="eastAsia" w:ascii="宋体" w:hAnsi="宋体" w:cs="宋体"/>
                <w:b w:val="0"/>
                <w:bCs/>
                <w:color w:val="auto"/>
                <w:szCs w:val="21"/>
                <w:highlight w:val="none"/>
              </w:rPr>
            </w:pPr>
          </w:p>
        </w:tc>
        <w:tc>
          <w:tcPr>
            <w:tcW w:w="4516" w:type="dxa"/>
            <w:vAlign w:val="center"/>
          </w:tcPr>
          <w:p w14:paraId="7F034E58">
            <w:pPr>
              <w:spacing w:line="360" w:lineRule="auto"/>
              <w:rPr>
                <w:rFonts w:hint="eastAsia" w:ascii="宋体" w:hAnsi="宋体" w:cs="宋体"/>
                <w:b w:val="0"/>
                <w:bCs/>
                <w:color w:val="auto"/>
                <w:szCs w:val="21"/>
                <w:highlight w:val="none"/>
              </w:rPr>
            </w:pPr>
          </w:p>
        </w:tc>
        <w:tc>
          <w:tcPr>
            <w:tcW w:w="1714" w:type="dxa"/>
            <w:vAlign w:val="center"/>
          </w:tcPr>
          <w:p w14:paraId="7F034E59">
            <w:pPr>
              <w:spacing w:line="360" w:lineRule="auto"/>
              <w:rPr>
                <w:rFonts w:hint="eastAsia" w:ascii="宋体" w:hAnsi="宋体" w:cs="宋体"/>
                <w:b w:val="0"/>
                <w:bCs/>
                <w:color w:val="auto"/>
                <w:szCs w:val="21"/>
                <w:highlight w:val="none"/>
              </w:rPr>
            </w:pPr>
          </w:p>
        </w:tc>
        <w:tc>
          <w:tcPr>
            <w:tcW w:w="2722" w:type="dxa"/>
            <w:vAlign w:val="center"/>
          </w:tcPr>
          <w:p w14:paraId="7F034E5A">
            <w:pPr>
              <w:spacing w:line="360" w:lineRule="auto"/>
              <w:rPr>
                <w:rFonts w:hint="eastAsia" w:ascii="宋体" w:hAnsi="宋体" w:cs="宋体"/>
                <w:b w:val="0"/>
                <w:bCs/>
                <w:color w:val="auto"/>
                <w:szCs w:val="21"/>
                <w:highlight w:val="none"/>
              </w:rPr>
            </w:pPr>
          </w:p>
        </w:tc>
      </w:tr>
      <w:tr w14:paraId="7F03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5C">
            <w:pPr>
              <w:spacing w:line="360" w:lineRule="auto"/>
              <w:rPr>
                <w:rFonts w:hint="eastAsia" w:ascii="宋体" w:hAnsi="宋体" w:cs="宋体"/>
                <w:b w:val="0"/>
                <w:bCs/>
                <w:color w:val="auto"/>
                <w:szCs w:val="21"/>
                <w:highlight w:val="none"/>
              </w:rPr>
            </w:pPr>
          </w:p>
        </w:tc>
        <w:tc>
          <w:tcPr>
            <w:tcW w:w="4516" w:type="dxa"/>
            <w:vAlign w:val="center"/>
          </w:tcPr>
          <w:p w14:paraId="7F034E5D">
            <w:pPr>
              <w:spacing w:line="360" w:lineRule="auto"/>
              <w:rPr>
                <w:rFonts w:hint="eastAsia" w:ascii="宋体" w:hAnsi="宋体" w:cs="宋体"/>
                <w:b w:val="0"/>
                <w:bCs/>
                <w:color w:val="auto"/>
                <w:szCs w:val="21"/>
                <w:highlight w:val="none"/>
              </w:rPr>
            </w:pPr>
          </w:p>
        </w:tc>
        <w:tc>
          <w:tcPr>
            <w:tcW w:w="1714" w:type="dxa"/>
            <w:vAlign w:val="center"/>
          </w:tcPr>
          <w:p w14:paraId="7F034E5E">
            <w:pPr>
              <w:spacing w:line="360" w:lineRule="auto"/>
              <w:rPr>
                <w:rFonts w:hint="eastAsia" w:ascii="宋体" w:hAnsi="宋体" w:cs="宋体"/>
                <w:b w:val="0"/>
                <w:bCs/>
                <w:color w:val="auto"/>
                <w:szCs w:val="21"/>
                <w:highlight w:val="none"/>
              </w:rPr>
            </w:pPr>
          </w:p>
        </w:tc>
        <w:tc>
          <w:tcPr>
            <w:tcW w:w="2722" w:type="dxa"/>
            <w:vAlign w:val="center"/>
          </w:tcPr>
          <w:p w14:paraId="7F034E5F">
            <w:pPr>
              <w:spacing w:line="360" w:lineRule="auto"/>
              <w:rPr>
                <w:rFonts w:hint="eastAsia" w:ascii="宋体" w:hAnsi="宋体" w:cs="宋体"/>
                <w:b w:val="0"/>
                <w:bCs/>
                <w:color w:val="auto"/>
                <w:szCs w:val="21"/>
                <w:highlight w:val="none"/>
              </w:rPr>
            </w:pPr>
          </w:p>
        </w:tc>
      </w:tr>
      <w:tr w14:paraId="7F03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61">
            <w:pPr>
              <w:spacing w:line="360" w:lineRule="auto"/>
              <w:rPr>
                <w:rFonts w:hint="eastAsia" w:ascii="宋体" w:hAnsi="宋体" w:cs="宋体"/>
                <w:b w:val="0"/>
                <w:bCs/>
                <w:color w:val="auto"/>
                <w:szCs w:val="21"/>
                <w:highlight w:val="none"/>
              </w:rPr>
            </w:pPr>
          </w:p>
        </w:tc>
        <w:tc>
          <w:tcPr>
            <w:tcW w:w="4516" w:type="dxa"/>
            <w:vAlign w:val="center"/>
          </w:tcPr>
          <w:p w14:paraId="7F034E62">
            <w:pPr>
              <w:spacing w:line="360" w:lineRule="auto"/>
              <w:rPr>
                <w:rFonts w:hint="eastAsia" w:ascii="宋体" w:hAnsi="宋体" w:cs="宋体"/>
                <w:b w:val="0"/>
                <w:bCs/>
                <w:color w:val="auto"/>
                <w:szCs w:val="21"/>
                <w:highlight w:val="none"/>
              </w:rPr>
            </w:pPr>
          </w:p>
        </w:tc>
        <w:tc>
          <w:tcPr>
            <w:tcW w:w="1714" w:type="dxa"/>
            <w:vAlign w:val="center"/>
          </w:tcPr>
          <w:p w14:paraId="7F034E63">
            <w:pPr>
              <w:spacing w:line="360" w:lineRule="auto"/>
              <w:rPr>
                <w:rFonts w:hint="eastAsia" w:ascii="宋体" w:hAnsi="宋体" w:cs="宋体"/>
                <w:b w:val="0"/>
                <w:bCs/>
                <w:color w:val="auto"/>
                <w:szCs w:val="21"/>
                <w:highlight w:val="none"/>
              </w:rPr>
            </w:pPr>
          </w:p>
        </w:tc>
        <w:tc>
          <w:tcPr>
            <w:tcW w:w="2722" w:type="dxa"/>
            <w:vAlign w:val="center"/>
          </w:tcPr>
          <w:p w14:paraId="7F034E64">
            <w:pPr>
              <w:spacing w:line="360" w:lineRule="auto"/>
              <w:rPr>
                <w:rFonts w:hint="eastAsia" w:ascii="宋体" w:hAnsi="宋体" w:cs="宋体"/>
                <w:b w:val="0"/>
                <w:bCs/>
                <w:color w:val="auto"/>
                <w:szCs w:val="21"/>
                <w:highlight w:val="none"/>
              </w:rPr>
            </w:pPr>
          </w:p>
        </w:tc>
      </w:tr>
      <w:tr w14:paraId="7F03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66">
            <w:pPr>
              <w:spacing w:line="360" w:lineRule="auto"/>
              <w:rPr>
                <w:rFonts w:hint="eastAsia" w:ascii="宋体" w:hAnsi="宋体" w:cs="宋体"/>
                <w:b w:val="0"/>
                <w:bCs/>
                <w:color w:val="auto"/>
                <w:szCs w:val="21"/>
                <w:highlight w:val="none"/>
              </w:rPr>
            </w:pPr>
          </w:p>
        </w:tc>
        <w:tc>
          <w:tcPr>
            <w:tcW w:w="4516" w:type="dxa"/>
            <w:vAlign w:val="center"/>
          </w:tcPr>
          <w:p w14:paraId="7F034E67">
            <w:pPr>
              <w:spacing w:line="360" w:lineRule="auto"/>
              <w:rPr>
                <w:rFonts w:hint="eastAsia" w:ascii="宋体" w:hAnsi="宋体" w:cs="宋体"/>
                <w:b w:val="0"/>
                <w:bCs/>
                <w:color w:val="auto"/>
                <w:szCs w:val="21"/>
                <w:highlight w:val="none"/>
              </w:rPr>
            </w:pPr>
          </w:p>
        </w:tc>
        <w:tc>
          <w:tcPr>
            <w:tcW w:w="1714" w:type="dxa"/>
            <w:vAlign w:val="center"/>
          </w:tcPr>
          <w:p w14:paraId="7F034E68">
            <w:pPr>
              <w:spacing w:line="360" w:lineRule="auto"/>
              <w:rPr>
                <w:rFonts w:hint="eastAsia" w:ascii="宋体" w:hAnsi="宋体" w:cs="宋体"/>
                <w:b w:val="0"/>
                <w:bCs/>
                <w:color w:val="auto"/>
                <w:szCs w:val="21"/>
                <w:highlight w:val="none"/>
              </w:rPr>
            </w:pPr>
          </w:p>
        </w:tc>
        <w:tc>
          <w:tcPr>
            <w:tcW w:w="2722" w:type="dxa"/>
            <w:vAlign w:val="center"/>
          </w:tcPr>
          <w:p w14:paraId="7F034E69">
            <w:pPr>
              <w:spacing w:line="360" w:lineRule="auto"/>
              <w:rPr>
                <w:rFonts w:hint="eastAsia" w:ascii="宋体" w:hAnsi="宋体" w:cs="宋体"/>
                <w:b w:val="0"/>
                <w:bCs/>
                <w:color w:val="auto"/>
                <w:szCs w:val="21"/>
                <w:highlight w:val="none"/>
              </w:rPr>
            </w:pPr>
          </w:p>
        </w:tc>
      </w:tr>
      <w:tr w14:paraId="7F03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14:paraId="7F034E6B">
            <w:pPr>
              <w:spacing w:line="360" w:lineRule="auto"/>
              <w:rPr>
                <w:rFonts w:hint="eastAsia" w:ascii="宋体" w:hAnsi="宋体" w:cs="宋体"/>
                <w:b w:val="0"/>
                <w:bCs/>
                <w:color w:val="auto"/>
                <w:szCs w:val="21"/>
                <w:highlight w:val="none"/>
              </w:rPr>
            </w:pPr>
          </w:p>
        </w:tc>
        <w:tc>
          <w:tcPr>
            <w:tcW w:w="4516" w:type="dxa"/>
            <w:vAlign w:val="center"/>
          </w:tcPr>
          <w:p w14:paraId="7F034E6C">
            <w:pPr>
              <w:spacing w:line="360" w:lineRule="auto"/>
              <w:rPr>
                <w:rFonts w:hint="eastAsia" w:ascii="宋体" w:hAnsi="宋体" w:cs="宋体"/>
                <w:b w:val="0"/>
                <w:bCs/>
                <w:color w:val="auto"/>
                <w:szCs w:val="21"/>
                <w:highlight w:val="none"/>
              </w:rPr>
            </w:pPr>
          </w:p>
        </w:tc>
        <w:tc>
          <w:tcPr>
            <w:tcW w:w="1714" w:type="dxa"/>
            <w:vAlign w:val="center"/>
          </w:tcPr>
          <w:p w14:paraId="7F034E6D">
            <w:pPr>
              <w:spacing w:line="360" w:lineRule="auto"/>
              <w:rPr>
                <w:rFonts w:hint="eastAsia" w:ascii="宋体" w:hAnsi="宋体" w:cs="宋体"/>
                <w:b w:val="0"/>
                <w:bCs/>
                <w:color w:val="auto"/>
                <w:szCs w:val="21"/>
                <w:highlight w:val="none"/>
              </w:rPr>
            </w:pPr>
          </w:p>
        </w:tc>
        <w:tc>
          <w:tcPr>
            <w:tcW w:w="2722" w:type="dxa"/>
            <w:vAlign w:val="center"/>
          </w:tcPr>
          <w:p w14:paraId="7F034E6E">
            <w:pPr>
              <w:spacing w:line="360" w:lineRule="auto"/>
              <w:rPr>
                <w:rFonts w:hint="eastAsia" w:ascii="宋体" w:hAnsi="宋体" w:cs="宋体"/>
                <w:b w:val="0"/>
                <w:bCs/>
                <w:color w:val="auto"/>
                <w:szCs w:val="21"/>
                <w:highlight w:val="none"/>
              </w:rPr>
            </w:pPr>
          </w:p>
        </w:tc>
      </w:tr>
    </w:tbl>
    <w:p w14:paraId="7F034E70">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i/>
          <w:iCs/>
          <w:color w:val="auto"/>
          <w:szCs w:val="21"/>
          <w:highlight w:val="none"/>
        </w:rPr>
        <w:t>[提示：招标人编制招标文件时，应将招标文件第五章供货要求中所有允许负偏差的条款填入本表的“供货要求”列，便于投标人编制投标文件时一一响应。]</w:t>
      </w:r>
    </w:p>
    <w:p w14:paraId="7F034E71">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注：本表中的“序号”和“供货要求”列由招标人在编制招标文件时填写，投标人不得修改。投标文件中需对“供货要求”一一进行响应，负偏差项数不得超过招标文件规定的项数上限，也不得在招标文件明确的“供货要求”之外新增负偏差项。</w:t>
      </w:r>
    </w:p>
    <w:p w14:paraId="7F034E72">
      <w:pPr>
        <w:spacing w:line="360" w:lineRule="auto"/>
        <w:rPr>
          <w:rFonts w:hint="eastAsia" w:ascii="宋体" w:hAnsi="宋体" w:cs="宋体"/>
          <w:b w:val="0"/>
          <w:bCs/>
          <w:color w:val="auto"/>
          <w:szCs w:val="21"/>
          <w:highlight w:val="none"/>
        </w:rPr>
      </w:pPr>
    </w:p>
    <w:p w14:paraId="7F034E73">
      <w:pPr>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投 标 人： </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（盖单位章） </w:t>
      </w:r>
    </w:p>
    <w:p w14:paraId="7F034E74">
      <w:pPr>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rPr>
        <w:t>法定代表人或其委托代理人：</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   （签名或盖章）</w:t>
      </w:r>
    </w:p>
    <w:p w14:paraId="7F034E75">
      <w:pPr>
        <w:autoSpaceDE w:val="0"/>
        <w:autoSpaceDN w:val="0"/>
        <w:adjustRightInd w:val="0"/>
        <w:snapToGrid w:val="0"/>
        <w:spacing w:line="360" w:lineRule="auto"/>
        <w:jc w:val="left"/>
        <w:rPr>
          <w:rFonts w:hint="eastAsia" w:ascii="宋体" w:hAnsi="宋体" w:cs="宋体"/>
          <w:b w:val="0"/>
          <w:bCs/>
          <w:iCs/>
          <w:color w:val="auto"/>
          <w:kern w:val="0"/>
          <w:szCs w:val="21"/>
          <w:highlight w:val="none"/>
        </w:rPr>
      </w:pPr>
      <w:r>
        <w:rPr>
          <w:rFonts w:hint="eastAsia" w:ascii="宋体" w:hAnsi="宋体" w:cs="宋体"/>
          <w:b w:val="0"/>
          <w:bCs/>
          <w:color w:val="auto"/>
          <w:szCs w:val="21"/>
          <w:highlight w:val="none"/>
        </w:rPr>
        <w:t>日    期：  年  月   日</w:t>
      </w:r>
    </w:p>
    <w:p w14:paraId="7F034E76">
      <w:pPr>
        <w:widowControl/>
        <w:jc w:val="left"/>
        <w:rPr>
          <w:rFonts w:hint="eastAsia" w:ascii="宋体" w:hAnsi="宋体" w:cs="宋体"/>
          <w:b w:val="0"/>
          <w:bCs/>
          <w:iCs/>
          <w:color w:val="auto"/>
          <w:kern w:val="0"/>
          <w:szCs w:val="21"/>
          <w:highlight w:val="none"/>
        </w:rPr>
      </w:pPr>
      <w:r>
        <w:rPr>
          <w:rFonts w:hint="eastAsia" w:ascii="宋体" w:hAnsi="宋体" w:cs="宋体"/>
          <w:b w:val="0"/>
          <w:bCs/>
          <w:iCs/>
          <w:color w:val="auto"/>
          <w:kern w:val="0"/>
          <w:szCs w:val="21"/>
          <w:highlight w:val="none"/>
        </w:rPr>
        <w:br w:type="page"/>
      </w:r>
    </w:p>
    <w:p w14:paraId="7F034E77">
      <w:pPr>
        <w:spacing w:line="360" w:lineRule="auto"/>
        <w:jc w:val="center"/>
        <w:rPr>
          <w:rFonts w:hint="eastAsia" w:ascii="宋体" w:hAnsi="宋体" w:cs="宋体"/>
          <w:b w:val="0"/>
          <w:bCs/>
          <w:color w:val="auto"/>
          <w:szCs w:val="21"/>
          <w:highlight w:val="none"/>
        </w:rPr>
      </w:pPr>
      <w:r>
        <w:rPr>
          <w:rFonts w:hint="eastAsia" w:ascii="宋体" w:hAnsi="宋体" w:cs="宋体"/>
          <w:b w:val="0"/>
          <w:bCs/>
          <w:iCs/>
          <w:color w:val="auto"/>
          <w:kern w:val="0"/>
          <w:sz w:val="36"/>
          <w:szCs w:val="36"/>
          <w:highlight w:val="none"/>
        </w:rPr>
        <w:t>（二）其他资料（如有）</w:t>
      </w:r>
    </w:p>
    <w:p w14:paraId="7F034E78">
      <w:pPr>
        <w:autoSpaceDE w:val="0"/>
        <w:autoSpaceDN w:val="0"/>
        <w:adjustRightInd w:val="0"/>
        <w:snapToGrid w:val="0"/>
        <w:spacing w:line="360" w:lineRule="auto"/>
        <w:ind w:firstLine="420" w:firstLineChars="200"/>
        <w:jc w:val="left"/>
        <w:rPr>
          <w:rFonts w:hint="eastAsia" w:ascii="宋体" w:hAnsi="宋体" w:cs="宋体"/>
          <w:b w:val="0"/>
          <w:bCs/>
          <w:iCs/>
          <w:color w:val="auto"/>
          <w:kern w:val="0"/>
          <w:szCs w:val="21"/>
          <w:highlight w:val="none"/>
        </w:rPr>
      </w:pPr>
      <w:r>
        <w:rPr>
          <w:rFonts w:hint="eastAsia" w:ascii="宋体" w:hAnsi="宋体" w:cs="宋体"/>
          <w:b w:val="0"/>
          <w:bCs/>
          <w:color w:val="auto"/>
          <w:szCs w:val="21"/>
          <w:highlight w:val="none"/>
        </w:rPr>
        <w:t>注：提供第三章评标办法前附表商务部分要求提供的证明材料，格式自拟。</w:t>
      </w:r>
    </w:p>
    <w:p w14:paraId="7F034E79">
      <w:pPr>
        <w:widowControl/>
        <w:jc w:val="left"/>
        <w:rPr>
          <w:rFonts w:hint="eastAsia" w:ascii="宋体" w:hAnsi="宋体" w:cs="宋体"/>
          <w:b w:val="0"/>
          <w:bCs/>
          <w:iCs/>
          <w:color w:val="auto"/>
          <w:kern w:val="0"/>
          <w:szCs w:val="21"/>
          <w:highlight w:val="none"/>
        </w:rPr>
      </w:pPr>
      <w:r>
        <w:rPr>
          <w:rFonts w:hint="eastAsia" w:ascii="宋体" w:hAnsi="宋体" w:cs="宋体"/>
          <w:b w:val="0"/>
          <w:bCs/>
          <w:iCs/>
          <w:color w:val="auto"/>
          <w:kern w:val="0"/>
          <w:szCs w:val="21"/>
          <w:highlight w:val="none"/>
        </w:rPr>
        <w:br w:type="page"/>
      </w:r>
    </w:p>
    <w:p w14:paraId="7F034E7A">
      <w:pPr>
        <w:pStyle w:val="4"/>
        <w:spacing w:line="360" w:lineRule="auto"/>
        <w:jc w:val="center"/>
        <w:rPr>
          <w:rFonts w:hint="eastAsia" w:ascii="宋体" w:hAnsi="宋体" w:cs="宋体"/>
          <w:b w:val="0"/>
          <w:bCs/>
          <w:color w:val="auto"/>
          <w:sz w:val="44"/>
          <w:szCs w:val="44"/>
          <w:highlight w:val="none"/>
        </w:rPr>
      </w:pPr>
      <w:bookmarkStart w:id="1015" w:name="_Toc430530536"/>
      <w:bookmarkStart w:id="1016" w:name="_Toc2131"/>
      <w:bookmarkStart w:id="1017" w:name="_Toc224103502"/>
      <w:bookmarkStart w:id="1018" w:name="_Toc287607874"/>
      <w:bookmarkStart w:id="1019" w:name="_Toc287620821"/>
      <w:r>
        <w:rPr>
          <w:rFonts w:hint="eastAsia" w:ascii="宋体" w:hAnsi="宋体" w:cs="宋体"/>
          <w:b w:val="0"/>
          <w:bCs/>
          <w:color w:val="auto"/>
          <w:sz w:val="44"/>
          <w:szCs w:val="44"/>
          <w:highlight w:val="none"/>
        </w:rPr>
        <w:t>三、技术部分</w:t>
      </w:r>
      <w:bookmarkEnd w:id="1015"/>
      <w:bookmarkEnd w:id="1016"/>
      <w:bookmarkEnd w:id="1017"/>
    </w:p>
    <w:bookmarkEnd w:id="1018"/>
    <w:bookmarkEnd w:id="1019"/>
    <w:p w14:paraId="7F034E7B">
      <w:pPr>
        <w:pStyle w:val="2"/>
        <w:jc w:val="center"/>
        <w:rPr>
          <w:rFonts w:ascii="宋体" w:hAnsi="宋体" w:cs="宋体"/>
          <w:b w:val="0"/>
          <w:bCs/>
          <w:color w:val="auto"/>
          <w:highlight w:val="none"/>
        </w:rPr>
      </w:pPr>
      <w:r>
        <w:rPr>
          <w:rFonts w:hint="eastAsia" w:ascii="宋体" w:hAnsi="宋体" w:cs="宋体"/>
          <w:b w:val="0"/>
          <w:bCs/>
          <w:color w:val="auto"/>
          <w:highlight w:val="none"/>
        </w:rPr>
        <w:t>（注：</w:t>
      </w:r>
      <w:r>
        <w:rPr>
          <w:rFonts w:hint="eastAsia" w:ascii="宋体" w:hAnsi="宋体" w:cs="宋体"/>
          <w:b w:val="0"/>
          <w:bCs/>
          <w:color w:val="auto"/>
          <w:szCs w:val="21"/>
          <w:highlight w:val="none"/>
        </w:rPr>
        <w:t>投标人应根据招标文件的要求编制技术部分。</w:t>
      </w:r>
      <w:r>
        <w:rPr>
          <w:rFonts w:hint="eastAsia" w:ascii="宋体" w:hAnsi="宋体" w:cs="宋体"/>
          <w:b w:val="0"/>
          <w:bCs/>
          <w:color w:val="auto"/>
          <w:highlight w:val="none"/>
        </w:rPr>
        <w:t>）</w:t>
      </w:r>
    </w:p>
    <w:p w14:paraId="7F034E7C">
      <w:pPr>
        <w:autoSpaceDE w:val="0"/>
        <w:autoSpaceDN w:val="0"/>
        <w:adjustRightInd w:val="0"/>
        <w:snapToGrid w:val="0"/>
        <w:spacing w:line="360" w:lineRule="auto"/>
        <w:ind w:firstLine="411" w:firstLineChars="196"/>
        <w:rPr>
          <w:rFonts w:hint="eastAsia" w:ascii="宋体" w:hAnsi="宋体" w:cs="宋体"/>
          <w:b w:val="0"/>
          <w:bCs/>
          <w:snapToGrid w:val="0"/>
          <w:color w:val="auto"/>
          <w:kern w:val="0"/>
          <w:sz w:val="24"/>
          <w:highlight w:val="none"/>
        </w:rPr>
      </w:pPr>
      <w:r>
        <w:rPr>
          <w:rFonts w:ascii="宋体" w:hAnsi="宋体" w:cs="宋体"/>
          <w:b w:val="0"/>
          <w:bCs/>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2541270</wp:posOffset>
                </wp:positionH>
                <wp:positionV relativeFrom="paragraph">
                  <wp:posOffset>8717280</wp:posOffset>
                </wp:positionV>
                <wp:extent cx="807720" cy="693420"/>
                <wp:effectExtent l="0" t="0" r="11430" b="11430"/>
                <wp:wrapNone/>
                <wp:docPr id="3" name="矩形 113"/>
                <wp:cNvGraphicFramePr/>
                <a:graphic xmlns:a="http://schemas.openxmlformats.org/drawingml/2006/main">
                  <a:graphicData uri="http://schemas.microsoft.com/office/word/2010/wordprocessingShape">
                    <wps:wsp>
                      <wps:cNvSpPr/>
                      <wps:spPr>
                        <a:xfrm>
                          <a:off x="0" y="0"/>
                          <a:ext cx="807720" cy="693420"/>
                        </a:xfrm>
                        <a:prstGeom prst="rect">
                          <a:avLst/>
                        </a:prstGeom>
                        <a:solidFill>
                          <a:srgbClr val="FFFFFF"/>
                        </a:solidFill>
                        <a:ln>
                          <a:noFill/>
                        </a:ln>
                      </wps:spPr>
                      <wps:txbx>
                        <w:txbxContent>
                          <w:p w14:paraId="7F034FDE"/>
                        </w:txbxContent>
                      </wps:txbx>
                      <wps:bodyPr wrap="square" upright="1"/>
                    </wps:wsp>
                  </a:graphicData>
                </a:graphic>
              </wp:anchor>
            </w:drawing>
          </mc:Choice>
          <mc:Fallback>
            <w:pict>
              <v:rect id="矩形 113" o:spid="_x0000_s1026" o:spt="1" style="position:absolute;left:0pt;margin-left:200.1pt;margin-top:686.4pt;height:54.6pt;width:63.6pt;z-index:251664384;mso-width-relative:page;mso-height-relative:page;" fillcolor="#FFFFFF" filled="t" stroked="f" coordsize="21600,21600" o:gfxdata="UEsDBAoAAAAAAIdO4kAAAAAAAAAAAAAAAAAEAAAAZHJzL1BLAwQUAAAACACHTuJAJLxrVdoAAAAN&#10;AQAADwAAAGRycy9kb3ducmV2LnhtbE2PwU7DMBBE70j8g7VI3KjdNE3bNE4PSD0BB1okrtt4m0TE&#10;doidNvw9y4ked+ZpdqbYTbYTFxpC652G+UyBIFd507paw8dx/7QGESI6g513pOGHAuzK+7sCc+Ov&#10;7p0uh1gLDnEhRw1NjH0uZagashhmvifH3tkPFiOfQy3NgFcOt51MlMqkxdbxhwZ7em6o+jqMVgNm&#10;qfl+Oy9ejy9jhpt6Uvvlp9L68WGutiAiTfEfhr/6XB1K7nTyozNBdBpSpRJG2VisEh7ByDJZpSBO&#10;LKXrRIEsC3m7ovwFUEsDBBQAAAAIAIdO4kBH/BudwQEAAHkDAAAOAAAAZHJzL2Uyb0RvYy54bWyt&#10;U82O0zAQviPxDpbvNEmLdpeq6R6oygXBSss+gOs4iSX/MeM26dMgceMheBzEazB2QheWyx7IwZmx&#10;Z76Z7xt7cztaw04KUHtX82pRcqac9I12Xc0fPu1f3XCGUbhGGO9Uzc8K+e325YvNENZq6XtvGgWM&#10;QByuh1DzPsawLgqUvbICFz4oR4etBysiudAVDYiB0K0plmV5VQwemgBeKkTa3U2HfEaE5wD6ttVS&#10;7bw8WuXihArKiEiUsNcB+TZ327ZKxo9tiyoyU3NiGvNKRcg+pLXYbsS6AxF6LecWxHNaeMLJCu2o&#10;6AVqJ6JgR9D/QFktwaNv40J6W0xEsiLEoiqfaHPfi6AyF5Iaw0V0/H+w8sPpDphuar7izAlLA//5&#10;5duP719ZVa2SOkPANQXdhzuYPSQzUR1bsOlPJNiYFT1fFFVjZJI2b8rr6yVpLeno6s3qNdmEUjwm&#10;B8D4TnnLklFzoIFlHcXpPcYp9HdIqoXe6GavjckOdIe3BthJ0HD3+ZvR/wozLgU7n9ImxLRTJGIT&#10;lWTF8TDO/A6+OZMmA12KmuPnowDF2TGA7nrqsMolUgpNJFOZb08a+Z9+LvH4Yr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S8a1XaAAAADQEAAA8AAAAAAAAAAQAgAAAAIgAAAGRycy9kb3ducmV2&#10;LnhtbFBLAQIUABQAAAAIAIdO4kBH/BudwQEAAHkDAAAOAAAAAAAAAAEAIAAAACkBAABkcnMvZTJv&#10;RG9jLnhtbFBLBQYAAAAABgAGAFkBAABcBQAAAAA=&#10;">
                <v:fill on="t" focussize="0,0"/>
                <v:stroke on="f"/>
                <v:imagedata o:title=""/>
                <o:lock v:ext="edit" aspectratio="f"/>
                <v:textbox>
                  <w:txbxContent>
                    <w:p w14:paraId="7F034FDE"/>
                  </w:txbxContent>
                </v:textbox>
              </v:rect>
            </w:pict>
          </mc:Fallback>
        </mc:AlternateContent>
      </w:r>
    </w:p>
    <w:p w14:paraId="7F034E7D">
      <w:pPr>
        <w:autoSpaceDE w:val="0"/>
        <w:autoSpaceDN w:val="0"/>
        <w:adjustRightInd w:val="0"/>
        <w:snapToGrid w:val="0"/>
        <w:spacing w:line="360" w:lineRule="auto"/>
        <w:jc w:val="center"/>
        <w:rPr>
          <w:rFonts w:hint="eastAsia" w:ascii="宋体" w:hAnsi="宋体" w:cs="宋体"/>
          <w:b w:val="0"/>
          <w:bCs/>
          <w:color w:val="auto"/>
          <w:kern w:val="0"/>
          <w:sz w:val="24"/>
          <w:highlight w:val="none"/>
        </w:rPr>
      </w:pPr>
      <w:r>
        <w:rPr>
          <w:rFonts w:hint="eastAsia" w:ascii="宋体" w:hAnsi="宋体" w:cs="宋体"/>
          <w:b w:val="0"/>
          <w:bCs/>
          <w:color w:val="auto"/>
          <w:kern w:val="0"/>
          <w:sz w:val="24"/>
          <w:highlight w:val="none"/>
        </w:rPr>
        <w:br w:type="page"/>
      </w:r>
    </w:p>
    <w:p w14:paraId="7F034E7E">
      <w:pPr>
        <w:autoSpaceDE w:val="0"/>
        <w:autoSpaceDN w:val="0"/>
        <w:adjustRightInd w:val="0"/>
        <w:snapToGrid w:val="0"/>
        <w:spacing w:line="360" w:lineRule="auto"/>
        <w:jc w:val="left"/>
        <w:rPr>
          <w:rFonts w:hint="eastAsia" w:ascii="宋体" w:hAnsi="宋体" w:cs="宋体"/>
          <w:b w:val="0"/>
          <w:bCs/>
          <w:color w:val="auto"/>
          <w:kern w:val="0"/>
          <w:sz w:val="24"/>
          <w:szCs w:val="21"/>
          <w:highlight w:val="none"/>
        </w:rPr>
      </w:pPr>
    </w:p>
    <w:p w14:paraId="7F034E7F">
      <w:pPr>
        <w:autoSpaceDE w:val="0"/>
        <w:autoSpaceDN w:val="0"/>
        <w:adjustRightInd w:val="0"/>
        <w:snapToGrid w:val="0"/>
        <w:spacing w:line="360" w:lineRule="auto"/>
        <w:jc w:val="center"/>
        <w:rPr>
          <w:rFonts w:hint="eastAsia" w:ascii="宋体" w:hAnsi="宋体" w:cs="宋体"/>
          <w:b w:val="0"/>
          <w:bCs/>
          <w:color w:val="auto"/>
          <w:kern w:val="0"/>
          <w:sz w:val="32"/>
          <w:szCs w:val="32"/>
          <w:highlight w:val="none"/>
        </w:rPr>
      </w:pPr>
      <w:r>
        <w:rPr>
          <w:rFonts w:hint="eastAsia" w:ascii="宋体" w:hAnsi="宋体" w:cs="宋体"/>
          <w:b w:val="0"/>
          <w:bCs/>
          <w:color w:val="auto"/>
          <w:kern w:val="0"/>
          <w:sz w:val="36"/>
          <w:szCs w:val="36"/>
          <w:highlight w:val="none"/>
        </w:rPr>
        <w:t>目  录</w:t>
      </w:r>
    </w:p>
    <w:p w14:paraId="7F034E80">
      <w:pPr>
        <w:autoSpaceDE w:val="0"/>
        <w:autoSpaceDN w:val="0"/>
        <w:adjustRightInd w:val="0"/>
        <w:snapToGrid w:val="0"/>
        <w:spacing w:line="360" w:lineRule="auto"/>
        <w:jc w:val="left"/>
        <w:rPr>
          <w:rFonts w:hint="eastAsia" w:ascii="宋体" w:hAnsi="宋体" w:cs="宋体"/>
          <w:b w:val="0"/>
          <w:bCs/>
          <w:color w:val="auto"/>
          <w:kern w:val="0"/>
          <w:sz w:val="32"/>
          <w:szCs w:val="32"/>
          <w:highlight w:val="none"/>
        </w:rPr>
      </w:pPr>
    </w:p>
    <w:p w14:paraId="7F034E81">
      <w:pPr>
        <w:autoSpaceDE w:val="0"/>
        <w:autoSpaceDN w:val="0"/>
        <w:adjustRightInd w:val="0"/>
        <w:snapToGrid w:val="0"/>
        <w:spacing w:line="360" w:lineRule="auto"/>
        <w:jc w:val="center"/>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（注：目录由投标人自行编制，格式自拟）</w:t>
      </w:r>
    </w:p>
    <w:p w14:paraId="7F034E82">
      <w:pPr>
        <w:tabs>
          <w:tab w:val="left" w:pos="1700"/>
        </w:tabs>
        <w:autoSpaceDE w:val="0"/>
        <w:autoSpaceDN w:val="0"/>
        <w:adjustRightInd w:val="0"/>
        <w:snapToGrid w:val="0"/>
        <w:spacing w:line="360" w:lineRule="auto"/>
        <w:ind w:firstLine="840" w:firstLineChars="400"/>
        <w:jc w:val="left"/>
        <w:rPr>
          <w:rFonts w:hint="eastAsia" w:ascii="宋体" w:hAnsi="宋体" w:cs="宋体"/>
          <w:b w:val="0"/>
          <w:bCs/>
          <w:color w:val="auto"/>
          <w:sz w:val="36"/>
          <w:szCs w:val="36"/>
          <w:highlight w:val="none"/>
        </w:rPr>
      </w:pPr>
      <w:r>
        <w:rPr>
          <w:rFonts w:ascii="宋体" w:hAnsi="宋体" w:cs="宋体"/>
          <w:b w:val="0"/>
          <w:bCs/>
          <w:color w:val="auto"/>
          <w:highlight w:val="none"/>
        </w:rPr>
        <w:br w:type="page"/>
      </w:r>
      <w:r>
        <w:rPr>
          <w:rFonts w:hint="eastAsia" w:ascii="宋体" w:hAnsi="宋体" w:cs="宋体"/>
          <w:b w:val="0"/>
          <w:bCs/>
          <w:color w:val="auto"/>
          <w:kern w:val="0"/>
          <w:sz w:val="24"/>
          <w:highlight w:val="none"/>
        </w:rPr>
        <w:t xml:space="preserve"> </w:t>
      </w:r>
    </w:p>
    <w:p w14:paraId="7F034E83">
      <w:pPr>
        <w:pStyle w:val="4"/>
        <w:spacing w:line="360" w:lineRule="auto"/>
        <w:jc w:val="center"/>
        <w:rPr>
          <w:rFonts w:hint="eastAsia" w:ascii="宋体" w:hAnsi="宋体" w:cs="宋体"/>
          <w:b w:val="0"/>
          <w:bCs/>
          <w:color w:val="auto"/>
          <w:sz w:val="44"/>
          <w:szCs w:val="44"/>
          <w:highlight w:val="none"/>
        </w:rPr>
      </w:pPr>
      <w:bookmarkStart w:id="1020" w:name="_Toc287620829"/>
      <w:bookmarkStart w:id="1021" w:name="_Toc287607882"/>
      <w:bookmarkStart w:id="1022" w:name="_Toc277082656"/>
      <w:bookmarkStart w:id="1023" w:name="_Toc430530545"/>
      <w:bookmarkStart w:id="1024" w:name="_Toc224103510"/>
      <w:bookmarkStart w:id="1025" w:name="_Toc25072"/>
      <w:r>
        <w:rPr>
          <w:rFonts w:hint="eastAsia" w:ascii="宋体" w:hAnsi="宋体" w:cs="宋体"/>
          <w:b w:val="0"/>
          <w:bCs/>
          <w:color w:val="auto"/>
          <w:sz w:val="44"/>
          <w:szCs w:val="44"/>
          <w:highlight w:val="none"/>
        </w:rPr>
        <w:t>四、</w:t>
      </w:r>
      <w:bookmarkEnd w:id="1020"/>
      <w:bookmarkEnd w:id="1021"/>
      <w:bookmarkEnd w:id="1022"/>
      <w:bookmarkEnd w:id="1023"/>
      <w:bookmarkEnd w:id="1024"/>
      <w:r>
        <w:rPr>
          <w:rFonts w:hint="eastAsia" w:ascii="宋体" w:hAnsi="宋体" w:cs="宋体"/>
          <w:b w:val="0"/>
          <w:bCs/>
          <w:color w:val="auto"/>
          <w:sz w:val="44"/>
          <w:szCs w:val="44"/>
          <w:highlight w:val="none"/>
        </w:rPr>
        <w:t>资格审查部分</w:t>
      </w:r>
      <w:bookmarkEnd w:id="1025"/>
    </w:p>
    <w:p w14:paraId="7F034E84">
      <w:pPr>
        <w:spacing w:line="360" w:lineRule="auto"/>
        <w:jc w:val="center"/>
        <w:rPr>
          <w:rFonts w:hint="eastAsia" w:ascii="宋体" w:hAnsi="宋体" w:cs="宋体"/>
          <w:b w:val="0"/>
          <w:bCs/>
          <w:color w:val="auto"/>
          <w:kern w:val="0"/>
          <w:sz w:val="32"/>
          <w:szCs w:val="32"/>
          <w:highlight w:val="none"/>
        </w:rPr>
      </w:pPr>
      <w:r>
        <w:rPr>
          <w:rFonts w:hint="eastAsia" w:ascii="宋体" w:hAnsi="宋体" w:cs="宋体"/>
          <w:b w:val="0"/>
          <w:bCs/>
          <w:color w:val="auto"/>
          <w:sz w:val="32"/>
          <w:szCs w:val="32"/>
          <w:highlight w:val="none"/>
        </w:rPr>
        <w:br w:type="page"/>
      </w:r>
      <w:r>
        <w:rPr>
          <w:rFonts w:hint="eastAsia" w:ascii="宋体" w:hAnsi="宋体" w:cs="宋体"/>
          <w:b w:val="0"/>
          <w:bCs/>
          <w:color w:val="auto"/>
          <w:kern w:val="0"/>
          <w:sz w:val="32"/>
          <w:szCs w:val="32"/>
          <w:highlight w:val="none"/>
          <w:u w:val="single"/>
        </w:rPr>
        <w:t xml:space="preserve">                   （项目名称）</w:t>
      </w:r>
    </w:p>
    <w:p w14:paraId="7F034E85">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86">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87">
      <w:pPr>
        <w:tabs>
          <w:tab w:val="left" w:pos="3600"/>
          <w:tab w:val="left" w:pos="4480"/>
          <w:tab w:val="left" w:pos="5360"/>
        </w:tabs>
        <w:autoSpaceDE w:val="0"/>
        <w:autoSpaceDN w:val="0"/>
        <w:adjustRightInd w:val="0"/>
        <w:snapToGrid w:val="0"/>
        <w:spacing w:line="360" w:lineRule="auto"/>
        <w:jc w:val="left"/>
        <w:rPr>
          <w:rFonts w:hint="eastAsia" w:ascii="宋体" w:hAnsi="宋体" w:cs="宋体"/>
          <w:b w:val="0"/>
          <w:bCs/>
          <w:color w:val="auto"/>
          <w:kern w:val="0"/>
          <w:sz w:val="44"/>
          <w:szCs w:val="44"/>
          <w:highlight w:val="none"/>
        </w:rPr>
      </w:pPr>
    </w:p>
    <w:p w14:paraId="7F034E8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val="0"/>
          <w:bCs/>
          <w:color w:val="auto"/>
          <w:kern w:val="0"/>
          <w:sz w:val="72"/>
          <w:szCs w:val="72"/>
          <w:highlight w:val="none"/>
        </w:rPr>
      </w:pPr>
      <w:r>
        <w:rPr>
          <w:rFonts w:hint="eastAsia" w:ascii="宋体" w:hAnsi="宋体" w:cs="宋体"/>
          <w:b w:val="0"/>
          <w:bCs/>
          <w:color w:val="auto"/>
          <w:kern w:val="0"/>
          <w:sz w:val="72"/>
          <w:szCs w:val="72"/>
          <w:highlight w:val="none"/>
        </w:rPr>
        <w:t>投 标 文 件</w:t>
      </w:r>
    </w:p>
    <w:p w14:paraId="7F034E89">
      <w:pPr>
        <w:autoSpaceDE w:val="0"/>
        <w:autoSpaceDN w:val="0"/>
        <w:adjustRightInd w:val="0"/>
        <w:snapToGrid w:val="0"/>
        <w:spacing w:line="360" w:lineRule="auto"/>
        <w:jc w:val="left"/>
        <w:rPr>
          <w:rFonts w:hint="eastAsia" w:ascii="宋体" w:hAnsi="宋体" w:cs="宋体"/>
          <w:b w:val="0"/>
          <w:bCs/>
          <w:color w:val="auto"/>
          <w:kern w:val="0"/>
          <w:sz w:val="16"/>
          <w:szCs w:val="16"/>
          <w:highlight w:val="none"/>
        </w:rPr>
      </w:pPr>
    </w:p>
    <w:p w14:paraId="7F034E8A">
      <w:pPr>
        <w:autoSpaceDE w:val="0"/>
        <w:autoSpaceDN w:val="0"/>
        <w:adjustRightInd w:val="0"/>
        <w:snapToGrid w:val="0"/>
        <w:spacing w:line="360" w:lineRule="auto"/>
        <w:jc w:val="center"/>
        <w:rPr>
          <w:rFonts w:hint="eastAsia" w:ascii="宋体" w:hAnsi="宋体" w:cs="宋体"/>
          <w:b w:val="0"/>
          <w:bCs/>
          <w:color w:val="auto"/>
          <w:kern w:val="0"/>
          <w:sz w:val="36"/>
          <w:szCs w:val="36"/>
          <w:highlight w:val="none"/>
        </w:rPr>
      </w:pPr>
      <w:r>
        <w:rPr>
          <w:rFonts w:hint="eastAsia" w:ascii="宋体" w:hAnsi="宋体" w:cs="宋体"/>
          <w:b w:val="0"/>
          <w:bCs/>
          <w:color w:val="auto"/>
          <w:kern w:val="0"/>
          <w:sz w:val="36"/>
          <w:szCs w:val="36"/>
          <w:highlight w:val="none"/>
        </w:rPr>
        <w:t>资格审查部分</w:t>
      </w:r>
    </w:p>
    <w:p w14:paraId="7F034E8B">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8C">
      <w:pPr>
        <w:adjustRightInd w:val="0"/>
        <w:snapToGrid w:val="0"/>
        <w:spacing w:line="264" w:lineRule="auto"/>
        <w:rPr>
          <w:rFonts w:hint="eastAsia" w:ascii="宋体" w:hAnsi="宋体" w:cs="宋体"/>
          <w:b w:val="0"/>
          <w:bCs/>
          <w:color w:val="auto"/>
          <w:szCs w:val="21"/>
          <w:highlight w:val="none"/>
        </w:rPr>
      </w:pPr>
    </w:p>
    <w:p w14:paraId="7F034E8D">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8E">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8F">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0">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1">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2">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3">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4">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5">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6">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7">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8">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9">
      <w:pPr>
        <w:autoSpaceDE w:val="0"/>
        <w:autoSpaceDN w:val="0"/>
        <w:adjustRightInd w:val="0"/>
        <w:snapToGrid w:val="0"/>
        <w:spacing w:line="360" w:lineRule="auto"/>
        <w:jc w:val="left"/>
        <w:rPr>
          <w:rFonts w:hint="eastAsia" w:ascii="宋体" w:hAnsi="宋体" w:cs="宋体"/>
          <w:b w:val="0"/>
          <w:bCs/>
          <w:color w:val="auto"/>
          <w:kern w:val="0"/>
          <w:sz w:val="20"/>
          <w:szCs w:val="20"/>
          <w:highlight w:val="none"/>
        </w:rPr>
      </w:pPr>
    </w:p>
    <w:p w14:paraId="7F034E9A">
      <w:pPr>
        <w:tabs>
          <w:tab w:val="left" w:pos="6080"/>
          <w:tab w:val="left" w:pos="6640"/>
        </w:tabs>
        <w:autoSpaceDE w:val="0"/>
        <w:autoSpaceDN w:val="0"/>
        <w:adjustRightInd w:val="0"/>
        <w:snapToGrid w:val="0"/>
        <w:spacing w:line="48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w w:val="99"/>
          <w:kern w:val="0"/>
          <w:sz w:val="28"/>
          <w:szCs w:val="28"/>
          <w:highlight w:val="none"/>
        </w:rPr>
        <w:t>投标人</w:t>
      </w:r>
      <w:r>
        <w:rPr>
          <w:rFonts w:hint="eastAsia" w:ascii="宋体" w:hAnsi="宋体" w:cs="宋体"/>
          <w:b w:val="0"/>
          <w:bCs/>
          <w:color w:val="auto"/>
          <w:spacing w:val="1"/>
          <w:w w:val="99"/>
          <w:kern w:val="0"/>
          <w:sz w:val="28"/>
          <w:szCs w:val="28"/>
          <w:highlight w:val="none"/>
        </w:rPr>
        <w:t>：</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（盖单位法人章）</w:t>
      </w:r>
    </w:p>
    <w:p w14:paraId="7F034E9B">
      <w:pPr>
        <w:tabs>
          <w:tab w:val="left" w:pos="6080"/>
          <w:tab w:val="left" w:pos="6640"/>
        </w:tabs>
        <w:autoSpaceDE w:val="0"/>
        <w:autoSpaceDN w:val="0"/>
        <w:adjustRightInd w:val="0"/>
        <w:snapToGrid w:val="0"/>
        <w:spacing w:line="48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w w:val="99"/>
          <w:kern w:val="0"/>
          <w:sz w:val="28"/>
          <w:szCs w:val="28"/>
          <w:highlight w:val="none"/>
        </w:rPr>
        <w:t>法定代表人或其委托代理人：</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（签名或盖章）</w:t>
      </w:r>
    </w:p>
    <w:p w14:paraId="7F034E9C">
      <w:pPr>
        <w:tabs>
          <w:tab w:val="left" w:pos="3280"/>
          <w:tab w:val="left" w:pos="4680"/>
          <w:tab w:val="left" w:pos="6080"/>
        </w:tabs>
        <w:autoSpaceDE w:val="0"/>
        <w:autoSpaceDN w:val="0"/>
        <w:adjustRightInd w:val="0"/>
        <w:snapToGrid w:val="0"/>
        <w:spacing w:line="480" w:lineRule="auto"/>
        <w:jc w:val="center"/>
        <w:rPr>
          <w:rFonts w:hint="eastAsia" w:ascii="宋体" w:hAnsi="宋体" w:cs="宋体"/>
          <w:b w:val="0"/>
          <w:bCs/>
          <w:color w:val="auto"/>
          <w:w w:val="99"/>
          <w:kern w:val="0"/>
          <w:sz w:val="28"/>
          <w:szCs w:val="28"/>
          <w:highlight w:val="none"/>
        </w:rPr>
      </w:pP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年</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月</w:t>
      </w:r>
      <w:r>
        <w:rPr>
          <w:rFonts w:hint="eastAsia" w:ascii="宋体" w:hAnsi="宋体" w:cs="宋体"/>
          <w:b w:val="0"/>
          <w:bCs/>
          <w:color w:val="auto"/>
          <w:w w:val="198"/>
          <w:kern w:val="0"/>
          <w:sz w:val="28"/>
          <w:szCs w:val="28"/>
          <w:highlight w:val="none"/>
          <w:u w:val="single"/>
        </w:rPr>
        <w:t xml:space="preserve">    </w:t>
      </w:r>
      <w:r>
        <w:rPr>
          <w:rFonts w:hint="eastAsia" w:ascii="宋体" w:hAnsi="宋体" w:cs="宋体"/>
          <w:b w:val="0"/>
          <w:bCs/>
          <w:color w:val="auto"/>
          <w:w w:val="99"/>
          <w:kern w:val="0"/>
          <w:sz w:val="28"/>
          <w:szCs w:val="28"/>
          <w:highlight w:val="none"/>
        </w:rPr>
        <w:t>日</w:t>
      </w:r>
    </w:p>
    <w:p w14:paraId="7F034E9D">
      <w:pPr>
        <w:tabs>
          <w:tab w:val="left" w:pos="3280"/>
          <w:tab w:val="left" w:pos="4680"/>
          <w:tab w:val="left" w:pos="6080"/>
        </w:tabs>
        <w:autoSpaceDE w:val="0"/>
        <w:autoSpaceDN w:val="0"/>
        <w:adjustRightInd w:val="0"/>
        <w:snapToGrid w:val="0"/>
        <w:spacing w:line="48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w w:val="99"/>
          <w:kern w:val="0"/>
          <w:sz w:val="28"/>
          <w:szCs w:val="28"/>
          <w:highlight w:val="none"/>
        </w:rPr>
        <w:br w:type="page"/>
      </w:r>
    </w:p>
    <w:p w14:paraId="7F034E9E">
      <w:pPr>
        <w:autoSpaceDE w:val="0"/>
        <w:autoSpaceDN w:val="0"/>
        <w:adjustRightInd w:val="0"/>
        <w:snapToGrid w:val="0"/>
        <w:jc w:val="center"/>
        <w:rPr>
          <w:rFonts w:hint="eastAsia" w:ascii="宋体" w:hAnsi="宋体" w:cs="宋体"/>
          <w:b w:val="0"/>
          <w:bCs/>
          <w:color w:val="auto"/>
          <w:kern w:val="0"/>
          <w:sz w:val="36"/>
          <w:szCs w:val="36"/>
          <w:highlight w:val="none"/>
        </w:rPr>
      </w:pPr>
      <w:r>
        <w:rPr>
          <w:rFonts w:hint="eastAsia" w:ascii="宋体" w:hAnsi="宋体" w:cs="宋体"/>
          <w:b w:val="0"/>
          <w:bCs/>
          <w:color w:val="auto"/>
          <w:kern w:val="0"/>
          <w:sz w:val="36"/>
          <w:szCs w:val="36"/>
          <w:highlight w:val="none"/>
        </w:rPr>
        <w:t>目  录</w:t>
      </w:r>
    </w:p>
    <w:p w14:paraId="7F034E9F">
      <w:pPr>
        <w:spacing w:line="360" w:lineRule="auto"/>
        <w:jc w:val="center"/>
        <w:rPr>
          <w:rFonts w:hint="eastAsia" w:ascii="宋体" w:hAnsi="宋体" w:cs="宋体"/>
          <w:b w:val="0"/>
          <w:bCs/>
          <w:color w:val="auto"/>
          <w:kern w:val="0"/>
          <w:sz w:val="32"/>
          <w:szCs w:val="32"/>
          <w:highlight w:val="none"/>
        </w:rPr>
      </w:pPr>
    </w:p>
    <w:p w14:paraId="7F034EA0">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（一）法定代表人身份证明或授权委托书</w:t>
      </w:r>
    </w:p>
    <w:p w14:paraId="7F034EA1">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（二）制造商资格声明</w:t>
      </w:r>
      <w:r>
        <w:rPr>
          <w:rFonts w:hint="eastAsia" w:ascii="宋体" w:hAnsi="宋体" w:cs="宋体"/>
          <w:b w:val="0"/>
          <w:bCs/>
          <w:color w:val="auto"/>
          <w:szCs w:val="21"/>
          <w:highlight w:val="none"/>
        </w:rPr>
        <w:t>（制造商投标时提供）</w:t>
      </w:r>
      <w:r>
        <w:rPr>
          <w:rFonts w:hint="eastAsia" w:ascii="宋体" w:hAnsi="宋体" w:cs="宋体"/>
          <w:b w:val="0"/>
          <w:bCs/>
          <w:snapToGrid w:val="0"/>
          <w:color w:val="auto"/>
          <w:highlight w:val="none"/>
        </w:rPr>
        <w:t>或</w:t>
      </w:r>
      <w:r>
        <w:rPr>
          <w:rFonts w:hint="eastAsia" w:ascii="宋体" w:hAnsi="宋体" w:cs="宋体"/>
          <w:b w:val="0"/>
          <w:bCs/>
          <w:color w:val="auto"/>
          <w:szCs w:val="21"/>
          <w:highlight w:val="none"/>
        </w:rPr>
        <w:t>制造商授权书（代理商投标时提供）</w:t>
      </w:r>
    </w:p>
    <w:p w14:paraId="7F034EA2">
      <w:pPr>
        <w:autoSpaceDE w:val="0"/>
        <w:autoSpaceDN w:val="0"/>
        <w:adjustRightInd w:val="0"/>
        <w:snapToGrid w:val="0"/>
        <w:spacing w:line="360" w:lineRule="auto"/>
        <w:ind w:firstLine="420"/>
        <w:rPr>
          <w:rFonts w:hint="eastAsia" w:ascii="宋体" w:hAnsi="宋体" w:cs="宋体"/>
          <w:b w:val="0"/>
          <w:bCs/>
          <w:snapToGrid w:val="0"/>
          <w:color w:val="auto"/>
          <w:highlight w:val="none"/>
        </w:rPr>
      </w:pPr>
      <w:r>
        <w:rPr>
          <w:rFonts w:hint="eastAsia" w:ascii="宋体" w:hAnsi="宋体" w:cs="宋体"/>
          <w:b w:val="0"/>
          <w:bCs/>
          <w:snapToGrid w:val="0"/>
          <w:color w:val="auto"/>
          <w:highlight w:val="none"/>
        </w:rPr>
        <w:t>（三）承诺</w:t>
      </w:r>
    </w:p>
    <w:p w14:paraId="7F034EA3">
      <w:pPr>
        <w:autoSpaceDE w:val="0"/>
        <w:autoSpaceDN w:val="0"/>
        <w:adjustRightInd w:val="0"/>
        <w:snapToGrid w:val="0"/>
        <w:spacing w:line="360" w:lineRule="auto"/>
        <w:ind w:firstLine="420"/>
        <w:rPr>
          <w:rFonts w:hint="eastAsia" w:ascii="宋体" w:hAnsi="宋体" w:cs="宋体"/>
          <w:b w:val="0"/>
          <w:bCs/>
          <w:color w:val="auto"/>
          <w:szCs w:val="21"/>
          <w:highlight w:val="none"/>
        </w:rPr>
      </w:pPr>
      <w:r>
        <w:rPr>
          <w:rFonts w:hint="eastAsia" w:ascii="宋体" w:hAnsi="宋体" w:cs="宋体"/>
          <w:b w:val="0"/>
          <w:bCs/>
          <w:snapToGrid w:val="0"/>
          <w:color w:val="auto"/>
          <w:highlight w:val="none"/>
        </w:rPr>
        <w:t>（四）其他资料</w:t>
      </w:r>
    </w:p>
    <w:p w14:paraId="7F034EA4">
      <w:pPr>
        <w:spacing w:line="360" w:lineRule="auto"/>
        <w:ind w:firstLine="420" w:firstLineChars="200"/>
        <w:rPr>
          <w:rFonts w:ascii="宋体" w:hAnsi="宋体" w:cs="宋体"/>
          <w:b w:val="0"/>
          <w:bCs/>
          <w:color w:val="auto"/>
          <w:highlight w:val="none"/>
        </w:rPr>
      </w:pPr>
    </w:p>
    <w:p w14:paraId="7F034EA5">
      <w:pPr>
        <w:spacing w:line="360" w:lineRule="auto"/>
        <w:jc w:val="center"/>
        <w:rPr>
          <w:rFonts w:hint="eastAsia" w:ascii="宋体" w:hAnsi="宋体" w:cs="宋体"/>
          <w:b w:val="0"/>
          <w:bCs/>
          <w:color w:val="auto"/>
          <w:kern w:val="0"/>
          <w:sz w:val="32"/>
          <w:szCs w:val="32"/>
          <w:highlight w:val="none"/>
        </w:rPr>
      </w:pPr>
    </w:p>
    <w:p w14:paraId="7F034EA6">
      <w:pPr>
        <w:spacing w:line="360" w:lineRule="auto"/>
        <w:jc w:val="center"/>
        <w:rPr>
          <w:rFonts w:hint="eastAsia" w:ascii="宋体" w:hAnsi="宋体" w:cs="宋体"/>
          <w:b w:val="0"/>
          <w:bCs/>
          <w:color w:val="auto"/>
          <w:kern w:val="0"/>
          <w:sz w:val="32"/>
          <w:szCs w:val="32"/>
          <w:highlight w:val="none"/>
        </w:rPr>
      </w:pPr>
    </w:p>
    <w:p w14:paraId="7F034EA7">
      <w:pPr>
        <w:pStyle w:val="5"/>
        <w:spacing w:before="0" w:after="0" w:line="240" w:lineRule="auto"/>
        <w:jc w:val="center"/>
        <w:rPr>
          <w:rFonts w:hint="eastAsia" w:ascii="宋体" w:hAnsi="宋体" w:cs="宋体"/>
          <w:b w:val="0"/>
          <w:bCs/>
          <w:color w:val="auto"/>
          <w:sz w:val="30"/>
          <w:szCs w:val="30"/>
          <w:highlight w:val="none"/>
        </w:rPr>
      </w:pPr>
      <w:r>
        <w:rPr>
          <w:rFonts w:hint="eastAsia" w:ascii="宋体" w:hAnsi="宋体" w:cs="宋体"/>
          <w:b w:val="0"/>
          <w:bCs/>
          <w:color w:val="auto"/>
          <w:highlight w:val="none"/>
        </w:rPr>
        <w:br w:type="page"/>
      </w:r>
      <w:bookmarkStart w:id="1026" w:name="_Toc277082657"/>
      <w:bookmarkStart w:id="1027" w:name="_Toc13615"/>
      <w:bookmarkStart w:id="1028" w:name="_Toc224103511"/>
      <w:bookmarkStart w:id="1029" w:name="_Toc287607883"/>
      <w:bookmarkStart w:id="1030" w:name="_Toc287620830"/>
      <w:bookmarkStart w:id="1031" w:name="_Toc430530546"/>
      <w:r>
        <w:rPr>
          <w:rFonts w:hint="eastAsia" w:ascii="宋体" w:hAnsi="宋体" w:cs="宋体"/>
          <w:b w:val="0"/>
          <w:bCs/>
          <w:color w:val="auto"/>
          <w:sz w:val="30"/>
          <w:szCs w:val="30"/>
          <w:highlight w:val="none"/>
        </w:rPr>
        <w:t>（一）法定代表人身份证明或授权委托书</w:t>
      </w:r>
      <w:bookmarkEnd w:id="1026"/>
      <w:bookmarkEnd w:id="1027"/>
      <w:bookmarkEnd w:id="1028"/>
      <w:bookmarkEnd w:id="1029"/>
      <w:bookmarkEnd w:id="1030"/>
      <w:bookmarkEnd w:id="1031"/>
    </w:p>
    <w:p w14:paraId="7F034EA8">
      <w:pPr>
        <w:spacing w:line="480" w:lineRule="auto"/>
        <w:jc w:val="center"/>
        <w:rPr>
          <w:rFonts w:hint="eastAsia" w:ascii="宋体" w:hAnsi="宋体" w:cs="宋体"/>
          <w:b w:val="0"/>
          <w:bCs/>
          <w:color w:val="auto"/>
          <w:sz w:val="28"/>
          <w:highlight w:val="none"/>
        </w:rPr>
      </w:pPr>
    </w:p>
    <w:p w14:paraId="7F034EA9">
      <w:pPr>
        <w:spacing w:line="480" w:lineRule="auto"/>
        <w:jc w:val="center"/>
        <w:rPr>
          <w:rFonts w:hint="eastAsia" w:ascii="宋体" w:hAnsi="宋体" w:cs="宋体"/>
          <w:b w:val="0"/>
          <w:bCs/>
          <w:color w:val="auto"/>
          <w:sz w:val="28"/>
          <w:highlight w:val="none"/>
        </w:rPr>
      </w:pPr>
      <w:r>
        <w:rPr>
          <w:rFonts w:hint="eastAsia" w:ascii="宋体" w:hAnsi="宋体" w:cs="宋体"/>
          <w:b w:val="0"/>
          <w:bCs/>
          <w:color w:val="auto"/>
          <w:sz w:val="28"/>
          <w:highlight w:val="none"/>
        </w:rPr>
        <w:t>法定代表人身份证明</w:t>
      </w:r>
    </w:p>
    <w:p w14:paraId="7F034EAA">
      <w:pPr>
        <w:spacing w:line="480" w:lineRule="auto"/>
        <w:jc w:val="center"/>
        <w:rPr>
          <w:rFonts w:hint="eastAsia" w:ascii="宋体" w:hAnsi="宋体" w:cs="宋体"/>
          <w:b w:val="0"/>
          <w:bCs/>
          <w:color w:val="auto"/>
          <w:highlight w:val="none"/>
        </w:rPr>
      </w:pPr>
    </w:p>
    <w:p w14:paraId="7F034EAB">
      <w:pPr>
        <w:tabs>
          <w:tab w:val="left" w:pos="556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投标人名称：</w:t>
      </w:r>
      <w:r>
        <w:rPr>
          <w:rFonts w:hint="eastAsia" w:ascii="宋体" w:hAnsi="宋体" w:cs="宋体"/>
          <w:b w:val="0"/>
          <w:bCs/>
          <w:color w:val="auto"/>
          <w:w w:val="200"/>
          <w:kern w:val="0"/>
          <w:szCs w:val="21"/>
          <w:highlight w:val="none"/>
          <w:u w:val="single"/>
        </w:rPr>
        <w:t xml:space="preserve">                                     </w:t>
      </w:r>
    </w:p>
    <w:p w14:paraId="7F034EAC">
      <w:pPr>
        <w:tabs>
          <w:tab w:val="left" w:pos="547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单位性质：</w:t>
      </w:r>
      <w:r>
        <w:rPr>
          <w:rFonts w:hint="eastAsia" w:ascii="宋体" w:hAnsi="宋体" w:cs="宋体"/>
          <w:b w:val="0"/>
          <w:bCs/>
          <w:color w:val="auto"/>
          <w:w w:val="200"/>
          <w:kern w:val="0"/>
          <w:szCs w:val="21"/>
          <w:highlight w:val="none"/>
          <w:u w:val="single"/>
        </w:rPr>
        <w:t xml:space="preserve">                                     </w:t>
      </w:r>
    </w:p>
    <w:p w14:paraId="7F034EAD">
      <w:pPr>
        <w:tabs>
          <w:tab w:val="left" w:pos="5475"/>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地    址：</w:t>
      </w:r>
      <w:r>
        <w:rPr>
          <w:rFonts w:hint="eastAsia" w:ascii="宋体" w:hAnsi="宋体" w:cs="宋体"/>
          <w:b w:val="0"/>
          <w:bCs/>
          <w:color w:val="auto"/>
          <w:w w:val="200"/>
          <w:kern w:val="0"/>
          <w:szCs w:val="21"/>
          <w:highlight w:val="none"/>
          <w:u w:val="single"/>
        </w:rPr>
        <w:t xml:space="preserve">                                     </w:t>
      </w:r>
    </w:p>
    <w:p w14:paraId="7F034EAE">
      <w:pPr>
        <w:tabs>
          <w:tab w:val="left" w:pos="2520"/>
          <w:tab w:val="left" w:pos="3836"/>
        </w:tabs>
        <w:autoSpaceDE w:val="0"/>
        <w:autoSpaceDN w:val="0"/>
        <w:adjustRightInd w:val="0"/>
        <w:snapToGrid w:val="0"/>
        <w:spacing w:line="480" w:lineRule="auto"/>
        <w:ind w:firstLine="390" w:firstLineChars="186"/>
        <w:jc w:val="left"/>
        <w:rPr>
          <w:rFonts w:hint="eastAsia" w:ascii="宋体" w:hAnsi="宋体" w:cs="宋体"/>
          <w:b w:val="0"/>
          <w:bCs/>
          <w:color w:val="auto"/>
          <w:kern w:val="0"/>
          <w:sz w:val="10"/>
          <w:szCs w:val="10"/>
          <w:highlight w:val="none"/>
        </w:rPr>
      </w:pPr>
      <w:r>
        <w:rPr>
          <w:rFonts w:hint="eastAsia" w:ascii="宋体" w:hAnsi="宋体" w:cs="宋体"/>
          <w:b w:val="0"/>
          <w:bCs/>
          <w:color w:val="auto"/>
          <w:kern w:val="0"/>
          <w:szCs w:val="21"/>
          <w:highlight w:val="none"/>
        </w:rPr>
        <w:t>成立时间：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p>
    <w:p w14:paraId="7F034EAF">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姓名：</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性别</w:t>
      </w:r>
      <w:r>
        <w:rPr>
          <w:rFonts w:hint="eastAsia" w:ascii="宋体" w:hAnsi="宋体" w:cs="宋体"/>
          <w:b w:val="0"/>
          <w:bCs/>
          <w:color w:val="auto"/>
          <w:spacing w:val="-1"/>
          <w:kern w:val="0"/>
          <w:szCs w:val="21"/>
          <w:highlight w:val="none"/>
        </w:rPr>
        <w:t>：</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spacing w:val="-1"/>
          <w:kern w:val="0"/>
          <w:szCs w:val="21"/>
          <w:highlight w:val="none"/>
        </w:rPr>
        <w:t>年</w:t>
      </w:r>
      <w:r>
        <w:rPr>
          <w:rFonts w:hint="eastAsia" w:ascii="宋体" w:hAnsi="宋体" w:cs="宋体"/>
          <w:b w:val="0"/>
          <w:bCs/>
          <w:color w:val="auto"/>
          <w:kern w:val="0"/>
          <w:szCs w:val="21"/>
          <w:highlight w:val="none"/>
        </w:rPr>
        <w:t>龄：</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职务：</w:t>
      </w:r>
      <w:r>
        <w:rPr>
          <w:rFonts w:hint="eastAsia" w:ascii="宋体" w:hAnsi="宋体" w:cs="宋体"/>
          <w:b w:val="0"/>
          <w:bCs/>
          <w:color w:val="auto"/>
          <w:kern w:val="0"/>
          <w:szCs w:val="21"/>
          <w:highlight w:val="none"/>
          <w:u w:val="single"/>
        </w:rPr>
        <w:t xml:space="preserve">               </w:t>
      </w:r>
    </w:p>
    <w:p w14:paraId="7F034EB0">
      <w:pPr>
        <w:tabs>
          <w:tab w:val="left" w:pos="336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系</w:t>
      </w:r>
      <w:r>
        <w:rPr>
          <w:rFonts w:hint="eastAsia" w:ascii="宋体" w:hAnsi="宋体" w:cs="宋体"/>
          <w:b w:val="0"/>
          <w:bCs/>
          <w:color w:val="auto"/>
          <w:kern w:val="0"/>
          <w:szCs w:val="21"/>
          <w:highlight w:val="none"/>
          <w:u w:val="single"/>
        </w:rPr>
        <w:t xml:space="preserve">                                                         （投标人名称）</w:t>
      </w:r>
      <w:r>
        <w:rPr>
          <w:rFonts w:hint="eastAsia" w:ascii="宋体" w:hAnsi="宋体" w:cs="宋体"/>
          <w:b w:val="0"/>
          <w:bCs/>
          <w:color w:val="auto"/>
          <w:kern w:val="0"/>
          <w:szCs w:val="21"/>
          <w:highlight w:val="none"/>
        </w:rPr>
        <w:t>的法定代表人。</w:t>
      </w:r>
    </w:p>
    <w:p w14:paraId="7F034EB1">
      <w:pPr>
        <w:tabs>
          <w:tab w:val="left" w:pos="3360"/>
        </w:tabs>
        <w:autoSpaceDE w:val="0"/>
        <w:autoSpaceDN w:val="0"/>
        <w:adjustRightInd w:val="0"/>
        <w:snapToGrid w:val="0"/>
        <w:spacing w:line="480" w:lineRule="auto"/>
        <w:ind w:firstLine="390" w:firstLineChars="1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特此证明。</w:t>
      </w:r>
    </w:p>
    <w:p w14:paraId="7F034EB2">
      <w:pPr>
        <w:autoSpaceDE w:val="0"/>
        <w:autoSpaceDN w:val="0"/>
        <w:adjustRightInd w:val="0"/>
        <w:snapToGrid w:val="0"/>
        <w:spacing w:line="480" w:lineRule="auto"/>
        <w:ind w:firstLine="810" w:firstLineChars="3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附：法定代表人身份证明扫描件（双面）</w:t>
      </w:r>
    </w:p>
    <w:p w14:paraId="7F034EB3">
      <w:pPr>
        <w:autoSpaceDE w:val="0"/>
        <w:autoSpaceDN w:val="0"/>
        <w:adjustRightInd w:val="0"/>
        <w:snapToGrid w:val="0"/>
        <w:spacing w:line="360" w:lineRule="auto"/>
        <w:jc w:val="left"/>
        <w:rPr>
          <w:rFonts w:hint="eastAsia" w:ascii="宋体" w:hAnsi="宋体" w:cs="宋体"/>
          <w:b w:val="0"/>
          <w:bCs/>
          <w:color w:val="auto"/>
          <w:szCs w:val="21"/>
          <w:highlight w:val="none"/>
        </w:rPr>
      </w:pPr>
    </w:p>
    <w:p w14:paraId="7F034EB4">
      <w:pPr>
        <w:pStyle w:val="2"/>
        <w:spacing w:after="0" w:line="360" w:lineRule="auto"/>
        <w:rPr>
          <w:rFonts w:hint="eastAsia" w:ascii="宋体" w:hAnsi="宋体" w:cs="宋体"/>
          <w:b w:val="0"/>
          <w:bCs/>
          <w:color w:val="auto"/>
          <w:szCs w:val="21"/>
          <w:highlight w:val="none"/>
        </w:rPr>
      </w:pPr>
    </w:p>
    <w:p w14:paraId="7F034EB5">
      <w:pPr>
        <w:pStyle w:val="2"/>
        <w:spacing w:after="0" w:line="360" w:lineRule="auto"/>
        <w:rPr>
          <w:rFonts w:hint="eastAsia" w:ascii="宋体" w:hAnsi="宋体" w:cs="宋体"/>
          <w:b w:val="0"/>
          <w:bCs/>
          <w:color w:val="auto"/>
          <w:szCs w:val="21"/>
          <w:highlight w:val="none"/>
        </w:rPr>
      </w:pPr>
    </w:p>
    <w:p w14:paraId="7F034EB6">
      <w:pPr>
        <w:pStyle w:val="2"/>
        <w:spacing w:after="0" w:line="360" w:lineRule="auto"/>
        <w:rPr>
          <w:rFonts w:hint="eastAsia" w:ascii="宋体" w:hAnsi="宋体" w:cs="宋体"/>
          <w:b w:val="0"/>
          <w:bCs/>
          <w:color w:val="auto"/>
          <w:szCs w:val="21"/>
          <w:highlight w:val="none"/>
        </w:rPr>
      </w:pPr>
    </w:p>
    <w:p w14:paraId="7F034EB7">
      <w:pPr>
        <w:pStyle w:val="2"/>
        <w:spacing w:after="0" w:line="360" w:lineRule="auto"/>
        <w:rPr>
          <w:rFonts w:hint="eastAsia" w:ascii="宋体" w:hAnsi="宋体" w:cs="宋体"/>
          <w:b w:val="0"/>
          <w:bCs/>
          <w:color w:val="auto"/>
          <w:szCs w:val="21"/>
          <w:highlight w:val="none"/>
        </w:rPr>
      </w:pPr>
    </w:p>
    <w:p w14:paraId="7F034EB8">
      <w:pPr>
        <w:autoSpaceDE w:val="0"/>
        <w:autoSpaceDN w:val="0"/>
        <w:adjustRightInd w:val="0"/>
        <w:snapToGrid w:val="0"/>
        <w:spacing w:line="480" w:lineRule="auto"/>
        <w:ind w:firstLine="420" w:firstLineChars="200"/>
        <w:jc w:val="righ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投标</w:t>
      </w:r>
      <w:r>
        <w:rPr>
          <w:rFonts w:hint="eastAsia" w:ascii="宋体" w:hAnsi="宋体" w:cs="宋体"/>
          <w:b w:val="0"/>
          <w:bCs/>
          <w:color w:val="auto"/>
          <w:spacing w:val="-1"/>
          <w:kern w:val="0"/>
          <w:szCs w:val="21"/>
          <w:highlight w:val="none"/>
        </w:rPr>
        <w:t>人</w:t>
      </w:r>
      <w:r>
        <w:rPr>
          <w:rFonts w:hint="eastAsia" w:ascii="宋体" w:hAnsi="宋体" w:cs="宋体"/>
          <w:b w:val="0"/>
          <w:bCs/>
          <w:color w:val="auto"/>
          <w:kern w:val="0"/>
          <w:szCs w:val="21"/>
          <w:highlight w:val="none"/>
        </w:rPr>
        <w:t>：</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spacing w:val="-1"/>
          <w:kern w:val="0"/>
          <w:szCs w:val="21"/>
          <w:highlight w:val="none"/>
        </w:rPr>
        <w:t>（</w:t>
      </w:r>
      <w:r>
        <w:rPr>
          <w:rFonts w:hint="eastAsia" w:ascii="宋体" w:hAnsi="宋体" w:cs="宋体"/>
          <w:b w:val="0"/>
          <w:bCs/>
          <w:color w:val="auto"/>
          <w:kern w:val="0"/>
          <w:szCs w:val="21"/>
          <w:highlight w:val="none"/>
        </w:rPr>
        <w:t>盖单位法人章）</w:t>
      </w:r>
    </w:p>
    <w:p w14:paraId="7F034EB9">
      <w:pPr>
        <w:autoSpaceDE w:val="0"/>
        <w:autoSpaceDN w:val="0"/>
        <w:adjustRightInd w:val="0"/>
        <w:snapToGrid w:val="0"/>
        <w:spacing w:line="480" w:lineRule="auto"/>
        <w:jc w:val="left"/>
        <w:rPr>
          <w:rFonts w:hint="eastAsia" w:ascii="宋体" w:hAnsi="宋体" w:cs="宋体"/>
          <w:b w:val="0"/>
          <w:bCs/>
          <w:color w:val="auto"/>
          <w:kern w:val="0"/>
          <w:sz w:val="20"/>
          <w:szCs w:val="20"/>
          <w:highlight w:val="none"/>
        </w:rPr>
      </w:pPr>
    </w:p>
    <w:p w14:paraId="7F034EBA">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cs="宋体"/>
          <w:b w:val="0"/>
          <w:bCs/>
          <w:color w:val="auto"/>
          <w:kern w:val="0"/>
          <w:szCs w:val="21"/>
          <w:highlight w:val="none"/>
        </w:rPr>
      </w:pP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 xml:space="preserve">日  </w:t>
      </w:r>
    </w:p>
    <w:p w14:paraId="7F034EBB">
      <w:pPr>
        <w:autoSpaceDE w:val="0"/>
        <w:autoSpaceDN w:val="0"/>
        <w:adjustRightInd w:val="0"/>
        <w:snapToGrid w:val="0"/>
        <w:spacing w:line="360" w:lineRule="auto"/>
        <w:jc w:val="left"/>
        <w:rPr>
          <w:rFonts w:hint="eastAsia" w:ascii="宋体" w:hAnsi="宋体" w:cs="宋体"/>
          <w:b w:val="0"/>
          <w:bCs/>
          <w:color w:val="auto"/>
          <w:kern w:val="0"/>
          <w:highlight w:val="none"/>
        </w:rPr>
      </w:pPr>
    </w:p>
    <w:p w14:paraId="7F034EBC">
      <w:pPr>
        <w:autoSpaceDE w:val="0"/>
        <w:autoSpaceDN w:val="0"/>
        <w:adjustRightInd w:val="0"/>
        <w:snapToGrid w:val="0"/>
        <w:spacing w:line="360" w:lineRule="auto"/>
        <w:jc w:val="left"/>
        <w:rPr>
          <w:rFonts w:hint="eastAsia" w:ascii="宋体" w:hAnsi="宋体" w:cs="宋体"/>
          <w:b w:val="0"/>
          <w:bCs/>
          <w:color w:val="auto"/>
          <w:kern w:val="0"/>
          <w:highlight w:val="none"/>
        </w:rPr>
      </w:pPr>
    </w:p>
    <w:p w14:paraId="7F034EBD">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hint="eastAsia" w:ascii="宋体" w:hAnsi="宋体" w:cs="宋体"/>
          <w:b w:val="0"/>
          <w:bCs/>
          <w:color w:val="auto"/>
          <w:kern w:val="0"/>
          <w:szCs w:val="21"/>
          <w:highlight w:val="none"/>
        </w:rPr>
      </w:pPr>
      <w:r>
        <w:rPr>
          <w:rFonts w:hint="eastAsia" w:ascii="宋体" w:hAnsi="宋体" w:cs="宋体"/>
          <w:b w:val="0"/>
          <w:bCs/>
          <w:color w:val="auto"/>
          <w:highlight w:val="none"/>
        </w:rPr>
        <w:t>注：法定代表人身份证明需按上述格式填写完整，不可缺少内容。在此基础上增加内容的不影响其有效性</w:t>
      </w:r>
      <w:r>
        <w:rPr>
          <w:rFonts w:hint="eastAsia" w:ascii="宋体" w:hAnsi="宋体" w:cs="宋体"/>
          <w:b w:val="0"/>
          <w:bCs/>
          <w:color w:val="auto"/>
          <w:kern w:val="0"/>
          <w:szCs w:val="21"/>
          <w:highlight w:val="none"/>
        </w:rPr>
        <w:t>。</w:t>
      </w:r>
    </w:p>
    <w:p w14:paraId="7F034EBE">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hint="eastAsia" w:ascii="宋体" w:hAnsi="宋体" w:cs="宋体"/>
          <w:b w:val="0"/>
          <w:bCs/>
          <w:color w:val="auto"/>
          <w:kern w:val="0"/>
          <w:szCs w:val="21"/>
          <w:highlight w:val="none"/>
        </w:rPr>
      </w:pPr>
    </w:p>
    <w:p w14:paraId="7F034EBF">
      <w:pPr>
        <w:tabs>
          <w:tab w:val="left" w:pos="1680"/>
          <w:tab w:val="left" w:pos="4215"/>
          <w:tab w:val="left" w:pos="4305"/>
          <w:tab w:val="left" w:pos="8000"/>
        </w:tabs>
        <w:autoSpaceDE w:val="0"/>
        <w:autoSpaceDN w:val="0"/>
        <w:adjustRightInd w:val="0"/>
        <w:snapToGrid w:val="0"/>
        <w:spacing w:line="360" w:lineRule="auto"/>
        <w:jc w:val="center"/>
        <w:rPr>
          <w:rFonts w:hint="eastAsia" w:ascii="宋体" w:hAnsi="宋体" w:cs="宋体"/>
          <w:b w:val="0"/>
          <w:bCs/>
          <w:color w:val="auto"/>
          <w:kern w:val="0"/>
          <w:sz w:val="28"/>
          <w:szCs w:val="28"/>
          <w:highlight w:val="none"/>
        </w:rPr>
      </w:pPr>
      <w:r>
        <w:rPr>
          <w:rFonts w:hint="eastAsia" w:ascii="宋体" w:hAnsi="宋体" w:cs="宋体"/>
          <w:b w:val="0"/>
          <w:bCs/>
          <w:color w:val="auto"/>
          <w:kern w:val="0"/>
          <w:sz w:val="28"/>
          <w:szCs w:val="28"/>
          <w:highlight w:val="none"/>
        </w:rPr>
        <w:br w:type="page"/>
      </w:r>
      <w:r>
        <w:rPr>
          <w:rFonts w:hint="eastAsia" w:ascii="宋体" w:hAnsi="宋体" w:cs="宋体"/>
          <w:b w:val="0"/>
          <w:bCs/>
          <w:snapToGrid w:val="0"/>
          <w:color w:val="auto"/>
          <w:kern w:val="0"/>
          <w:sz w:val="32"/>
          <w:szCs w:val="32"/>
          <w:highlight w:val="none"/>
        </w:rPr>
        <w:t>授权委托书</w:t>
      </w:r>
    </w:p>
    <w:p w14:paraId="7F034EC0">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b w:val="0"/>
          <w:bCs/>
          <w:color w:val="auto"/>
          <w:kern w:val="0"/>
          <w:szCs w:val="21"/>
          <w:highlight w:val="none"/>
        </w:rPr>
      </w:pPr>
    </w:p>
    <w:p w14:paraId="7F034EC1">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本人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（姓名）</w:t>
      </w:r>
      <w:r>
        <w:rPr>
          <w:rFonts w:hint="eastAsia" w:ascii="宋体" w:hAnsi="宋体" w:cs="宋体"/>
          <w:b w:val="0"/>
          <w:bCs/>
          <w:color w:val="auto"/>
          <w:kern w:val="0"/>
          <w:szCs w:val="21"/>
          <w:highlight w:val="none"/>
        </w:rPr>
        <w:t>系</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w:t>
      </w:r>
      <w:r>
        <w:rPr>
          <w:rFonts w:hint="eastAsia" w:ascii="宋体" w:hAnsi="宋体" w:cs="宋体"/>
          <w:b w:val="0"/>
          <w:bCs/>
          <w:color w:val="auto"/>
          <w:spacing w:val="-1"/>
          <w:kern w:val="0"/>
          <w:szCs w:val="21"/>
          <w:highlight w:val="none"/>
          <w:u w:val="single"/>
        </w:rPr>
        <w:t>投</w:t>
      </w:r>
      <w:r>
        <w:rPr>
          <w:rFonts w:hint="eastAsia" w:ascii="宋体" w:hAnsi="宋体" w:cs="宋体"/>
          <w:b w:val="0"/>
          <w:bCs/>
          <w:color w:val="auto"/>
          <w:kern w:val="0"/>
          <w:szCs w:val="21"/>
          <w:highlight w:val="none"/>
          <w:u w:val="single"/>
        </w:rPr>
        <w:t>标人名称</w:t>
      </w:r>
      <w:r>
        <w:rPr>
          <w:rFonts w:hint="eastAsia" w:ascii="宋体" w:hAnsi="宋体" w:cs="宋体"/>
          <w:b w:val="0"/>
          <w:bCs/>
          <w:color w:val="auto"/>
          <w:spacing w:val="1"/>
          <w:kern w:val="0"/>
          <w:szCs w:val="21"/>
          <w:highlight w:val="none"/>
          <w:u w:val="single"/>
        </w:rPr>
        <w:t>）</w:t>
      </w:r>
      <w:r>
        <w:rPr>
          <w:rFonts w:hint="eastAsia" w:ascii="宋体" w:hAnsi="宋体" w:cs="宋体"/>
          <w:b w:val="0"/>
          <w:bCs/>
          <w:color w:val="auto"/>
          <w:kern w:val="0"/>
          <w:szCs w:val="21"/>
          <w:highlight w:val="none"/>
        </w:rPr>
        <w:t>的法定代</w:t>
      </w:r>
      <w:r>
        <w:rPr>
          <w:rFonts w:hint="eastAsia" w:ascii="宋体" w:hAnsi="宋体" w:cs="宋体"/>
          <w:b w:val="0"/>
          <w:bCs/>
          <w:color w:val="auto"/>
          <w:spacing w:val="1"/>
          <w:kern w:val="0"/>
          <w:szCs w:val="21"/>
          <w:highlight w:val="none"/>
        </w:rPr>
        <w:t>表</w:t>
      </w:r>
      <w:r>
        <w:rPr>
          <w:rFonts w:hint="eastAsia" w:ascii="宋体" w:hAnsi="宋体" w:cs="宋体"/>
          <w:b w:val="0"/>
          <w:bCs/>
          <w:color w:val="auto"/>
          <w:kern w:val="0"/>
          <w:szCs w:val="21"/>
          <w:highlight w:val="none"/>
        </w:rPr>
        <w:t>人，现委托</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（姓名）</w:t>
      </w:r>
      <w:r>
        <w:rPr>
          <w:rFonts w:hint="eastAsia" w:ascii="宋体" w:hAnsi="宋体" w:cs="宋体"/>
          <w:b w:val="0"/>
          <w:bCs/>
          <w:color w:val="auto"/>
          <w:kern w:val="0"/>
          <w:szCs w:val="21"/>
          <w:highlight w:val="none"/>
        </w:rPr>
        <w:t>为我方代理人。代理人根据授权，代表我方签署、澄清、说明、补正、递交、撤回、 修改</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u w:val="single"/>
        </w:rPr>
        <w:t>（项</w:t>
      </w:r>
      <w:r>
        <w:rPr>
          <w:rFonts w:hint="eastAsia" w:ascii="宋体" w:hAnsi="宋体" w:cs="宋体"/>
          <w:b w:val="0"/>
          <w:bCs/>
          <w:color w:val="auto"/>
          <w:spacing w:val="-1"/>
          <w:kern w:val="0"/>
          <w:szCs w:val="21"/>
          <w:highlight w:val="none"/>
          <w:u w:val="single"/>
        </w:rPr>
        <w:t>目</w:t>
      </w:r>
      <w:r>
        <w:rPr>
          <w:rFonts w:hint="eastAsia" w:ascii="宋体" w:hAnsi="宋体" w:cs="宋体"/>
          <w:b w:val="0"/>
          <w:bCs/>
          <w:color w:val="auto"/>
          <w:kern w:val="0"/>
          <w:szCs w:val="21"/>
          <w:highlight w:val="none"/>
          <w:u w:val="single"/>
        </w:rPr>
        <w:t>名称）</w:t>
      </w:r>
      <w:r>
        <w:rPr>
          <w:rFonts w:hint="eastAsia" w:ascii="宋体" w:hAnsi="宋体" w:cs="宋体"/>
          <w:b w:val="0"/>
          <w:bCs/>
          <w:color w:val="auto"/>
          <w:kern w:val="0"/>
          <w:szCs w:val="21"/>
          <w:highlight w:val="none"/>
        </w:rPr>
        <w:t>投标文件、签订合同和处理有关事宜， 其法律后果由我方承担。</w:t>
      </w:r>
    </w:p>
    <w:p w14:paraId="7F034EC2">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委托</w:t>
      </w:r>
      <w:r>
        <w:rPr>
          <w:rFonts w:hint="eastAsia" w:ascii="宋体" w:hAnsi="宋体" w:cs="宋体"/>
          <w:b w:val="0"/>
          <w:bCs/>
          <w:color w:val="auto"/>
          <w:spacing w:val="-1"/>
          <w:kern w:val="0"/>
          <w:szCs w:val="21"/>
          <w:highlight w:val="none"/>
        </w:rPr>
        <w:t>期</w:t>
      </w:r>
      <w:r>
        <w:rPr>
          <w:rFonts w:hint="eastAsia" w:ascii="宋体" w:hAnsi="宋体" w:cs="宋体"/>
          <w:b w:val="0"/>
          <w:bCs/>
          <w:color w:val="auto"/>
          <w:kern w:val="0"/>
          <w:szCs w:val="21"/>
          <w:highlight w:val="none"/>
        </w:rPr>
        <w:t>限：</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 xml:space="preserve">。 </w:t>
      </w:r>
    </w:p>
    <w:p w14:paraId="7F034EC3">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代理人无转委托权。</w:t>
      </w:r>
    </w:p>
    <w:p w14:paraId="7F034EC4">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p>
    <w:p w14:paraId="7F034EC5">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  标  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盖单位法人章</w:t>
      </w:r>
      <w:r>
        <w:rPr>
          <w:rFonts w:hint="eastAsia" w:ascii="宋体" w:hAnsi="宋体" w:cs="宋体"/>
          <w:b w:val="0"/>
          <w:bCs/>
          <w:color w:val="auto"/>
          <w:kern w:val="0"/>
          <w:szCs w:val="21"/>
          <w:highlight w:val="none"/>
        </w:rPr>
        <w:t>）</w:t>
      </w:r>
    </w:p>
    <w:p w14:paraId="7F034EC6">
      <w:pPr>
        <w:tabs>
          <w:tab w:val="left" w:pos="630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法定代表人：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（签名或盖章）</w:t>
      </w:r>
    </w:p>
    <w:p w14:paraId="7F034EC7">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身份证号码：</w:t>
      </w:r>
      <w:r>
        <w:rPr>
          <w:rFonts w:hint="eastAsia" w:ascii="宋体" w:hAnsi="宋体" w:cs="宋体"/>
          <w:b w:val="0"/>
          <w:bCs/>
          <w:color w:val="auto"/>
          <w:w w:val="200"/>
          <w:kern w:val="0"/>
          <w:szCs w:val="21"/>
          <w:highlight w:val="none"/>
          <w:u w:val="single"/>
        </w:rPr>
        <w:t xml:space="preserve">                           </w:t>
      </w:r>
    </w:p>
    <w:p w14:paraId="7F034EC8">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委托代理人：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（签名</w:t>
      </w:r>
      <w:r>
        <w:rPr>
          <w:rFonts w:hint="eastAsia" w:ascii="宋体" w:hAnsi="宋体" w:cs="宋体"/>
          <w:b w:val="0"/>
          <w:bCs/>
          <w:color w:val="auto"/>
          <w:spacing w:val="-1"/>
          <w:kern w:val="0"/>
          <w:szCs w:val="21"/>
          <w:highlight w:val="none"/>
        </w:rPr>
        <w:t>）</w:t>
      </w:r>
    </w:p>
    <w:p w14:paraId="7F034EC9">
      <w:pPr>
        <w:tabs>
          <w:tab w:val="left" w:pos="6825"/>
        </w:tabs>
        <w:autoSpaceDE w:val="0"/>
        <w:autoSpaceDN w:val="0"/>
        <w:adjustRightInd w:val="0"/>
        <w:snapToGrid w:val="0"/>
        <w:spacing w:line="480" w:lineRule="auto"/>
        <w:ind w:firstLine="420" w:firstLineChars="200"/>
        <w:jc w:val="left"/>
        <w:rPr>
          <w:rFonts w:hint="eastAsia" w:ascii="宋体" w:hAnsi="宋体" w:cs="宋体"/>
          <w:b w:val="0"/>
          <w:bCs/>
          <w:color w:val="auto"/>
          <w:w w:val="200"/>
          <w:kern w:val="0"/>
          <w:szCs w:val="21"/>
          <w:highlight w:val="none"/>
          <w:u w:val="single"/>
        </w:rPr>
      </w:pPr>
      <w:r>
        <w:rPr>
          <w:rFonts w:hint="eastAsia" w:ascii="宋体" w:hAnsi="宋体" w:cs="宋体"/>
          <w:b w:val="0"/>
          <w:bCs/>
          <w:color w:val="auto"/>
          <w:kern w:val="0"/>
          <w:szCs w:val="21"/>
          <w:highlight w:val="none"/>
        </w:rPr>
        <w:t>身份证号码：</w:t>
      </w:r>
      <w:r>
        <w:rPr>
          <w:rFonts w:hint="eastAsia" w:ascii="宋体" w:hAnsi="宋体" w:cs="宋体"/>
          <w:b w:val="0"/>
          <w:bCs/>
          <w:color w:val="auto"/>
          <w:w w:val="200"/>
          <w:kern w:val="0"/>
          <w:szCs w:val="21"/>
          <w:highlight w:val="none"/>
          <w:u w:val="single"/>
        </w:rPr>
        <w:t xml:space="preserve">                           </w:t>
      </w:r>
    </w:p>
    <w:p w14:paraId="7F034ECA">
      <w:pPr>
        <w:tabs>
          <w:tab w:val="left" w:pos="6825"/>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u w:val="single"/>
        </w:rPr>
      </w:pPr>
      <w:r>
        <w:rPr>
          <w:rFonts w:hint="eastAsia" w:ascii="宋体" w:hAnsi="宋体" w:cs="宋体"/>
          <w:b w:val="0"/>
          <w:bCs/>
          <w:color w:val="auto"/>
          <w:kern w:val="0"/>
          <w:szCs w:val="21"/>
          <w:highlight w:val="none"/>
        </w:rPr>
        <w:t>单位电话（座机）：</w:t>
      </w:r>
      <w:r>
        <w:rPr>
          <w:rFonts w:hint="eastAsia" w:ascii="宋体" w:hAnsi="宋体" w:cs="宋体"/>
          <w:b w:val="0"/>
          <w:bCs/>
          <w:color w:val="auto"/>
          <w:kern w:val="0"/>
          <w:szCs w:val="21"/>
          <w:highlight w:val="none"/>
          <w:u w:val="single"/>
        </w:rPr>
        <w:t xml:space="preserve">                              </w:t>
      </w:r>
    </w:p>
    <w:p w14:paraId="7F034ECB">
      <w:pPr>
        <w:tabs>
          <w:tab w:val="left" w:pos="5260"/>
        </w:tabs>
        <w:autoSpaceDE w:val="0"/>
        <w:autoSpaceDN w:val="0"/>
        <w:adjustRightInd w:val="0"/>
        <w:snapToGrid w:val="0"/>
        <w:spacing w:line="48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委托代理人电话（手机）：                                          </w:t>
      </w:r>
    </w:p>
    <w:p w14:paraId="7F034ECC">
      <w:pPr>
        <w:autoSpaceDE w:val="0"/>
        <w:autoSpaceDN w:val="0"/>
        <w:adjustRightInd w:val="0"/>
        <w:snapToGrid w:val="0"/>
        <w:spacing w:line="480" w:lineRule="auto"/>
        <w:ind w:firstLine="810" w:firstLineChars="386"/>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附：法定代表人和委托代理人身份证明扫描件（双面）</w:t>
      </w:r>
    </w:p>
    <w:p w14:paraId="7F034ECD">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CE">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C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D0">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D1">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w w:val="200"/>
          <w:kern w:val="0"/>
          <w:szCs w:val="21"/>
          <w:highlight w:val="none"/>
          <w:u w:val="single"/>
        </w:rPr>
      </w:pPr>
    </w:p>
    <w:p w14:paraId="7F034ED2">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cs="宋体"/>
          <w:b w:val="0"/>
          <w:bCs/>
          <w:color w:val="auto"/>
          <w:kern w:val="0"/>
          <w:szCs w:val="21"/>
          <w:highlight w:val="none"/>
        </w:rPr>
      </w:pP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 xml:space="preserve">日 </w:t>
      </w:r>
    </w:p>
    <w:p w14:paraId="7F034ED3">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cs="宋体"/>
          <w:b w:val="0"/>
          <w:bCs/>
          <w:color w:val="auto"/>
          <w:kern w:val="0"/>
          <w:szCs w:val="21"/>
          <w:highlight w:val="none"/>
        </w:rPr>
      </w:pPr>
    </w:p>
    <w:p w14:paraId="7F034ED4">
      <w:pPr>
        <w:tabs>
          <w:tab w:val="left" w:pos="5760"/>
        </w:tabs>
        <w:autoSpaceDE w:val="0"/>
        <w:autoSpaceDN w:val="0"/>
        <w:adjustRightInd w:val="0"/>
        <w:spacing w:line="360" w:lineRule="auto"/>
        <w:ind w:firstLine="420" w:firstLineChars="200"/>
        <w:rPr>
          <w:rFonts w:hint="eastAsia" w:ascii="宋体" w:hAnsi="宋体" w:cs="宋体"/>
          <w:b w:val="0"/>
          <w:bCs/>
          <w:color w:val="auto"/>
          <w:kern w:val="0"/>
          <w:highlight w:val="none"/>
        </w:rPr>
      </w:pPr>
    </w:p>
    <w:p w14:paraId="7F034ED5">
      <w:pPr>
        <w:tabs>
          <w:tab w:val="left" w:pos="1680"/>
          <w:tab w:val="left" w:pos="4215"/>
          <w:tab w:val="left" w:pos="4305"/>
          <w:tab w:val="left" w:pos="8000"/>
        </w:tabs>
        <w:autoSpaceDE w:val="0"/>
        <w:autoSpaceDN w:val="0"/>
        <w:adjustRightInd w:val="0"/>
        <w:snapToGri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注：1、法定代表人参加投标活动并签署文件的不需要授权委托书，只需提供法定代表人身份证明；非法定代表人参加投标活动及签署文件的除提供法定代表人身份证明外还须提供授权委托书。</w:t>
      </w:r>
    </w:p>
    <w:p w14:paraId="7F034ED6">
      <w:pPr>
        <w:autoSpaceDE w:val="0"/>
        <w:autoSpaceDN w:val="0"/>
        <w:adjustRightInd w:val="0"/>
        <w:snapToGrid w:val="0"/>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kern w:val="0"/>
          <w:szCs w:val="21"/>
          <w:highlight w:val="none"/>
        </w:rPr>
        <w:t>2.</w:t>
      </w:r>
      <w:r>
        <w:rPr>
          <w:rFonts w:hint="eastAsia" w:ascii="宋体" w:hAnsi="宋体" w:cs="宋体"/>
          <w:b w:val="0"/>
          <w:bCs/>
          <w:color w:val="auto"/>
          <w:highlight w:val="none"/>
        </w:rPr>
        <w:t>授权委托书需按上述格式填写完整，不可缺少内容。在此基础上增加内容的不影响其有效性。</w:t>
      </w:r>
    </w:p>
    <w:p w14:paraId="7F034ED7">
      <w:pPr>
        <w:autoSpaceDE w:val="0"/>
        <w:autoSpaceDN w:val="0"/>
        <w:adjustRightInd w:val="0"/>
        <w:snapToGrid w:val="0"/>
        <w:jc w:val="center"/>
        <w:rPr>
          <w:rFonts w:hint="eastAsia" w:ascii="宋体" w:hAnsi="宋体" w:cs="宋体"/>
          <w:b w:val="0"/>
          <w:bCs/>
          <w:color w:val="auto"/>
          <w:highlight w:val="none"/>
        </w:rPr>
      </w:pPr>
      <w:r>
        <w:rPr>
          <w:rFonts w:hint="eastAsia" w:ascii="宋体" w:hAnsi="宋体" w:cs="宋体"/>
          <w:b w:val="0"/>
          <w:bCs/>
          <w:color w:val="auto"/>
          <w:highlight w:val="none"/>
        </w:rPr>
        <w:br w:type="page"/>
      </w:r>
    </w:p>
    <w:p w14:paraId="7F034ED8">
      <w:pPr>
        <w:pStyle w:val="5"/>
        <w:spacing w:before="0" w:after="0" w:line="240" w:lineRule="auto"/>
        <w:jc w:val="center"/>
        <w:rPr>
          <w:rFonts w:hint="eastAsia" w:ascii="宋体" w:hAnsi="宋体" w:cs="宋体"/>
          <w:b w:val="0"/>
          <w:bCs/>
          <w:color w:val="auto"/>
          <w:highlight w:val="none"/>
        </w:rPr>
      </w:pPr>
      <w:bookmarkStart w:id="1032" w:name="_Toc4766"/>
      <w:bookmarkStart w:id="1033" w:name="_Toc287620831"/>
      <w:bookmarkStart w:id="1034" w:name="_Toc224103512"/>
      <w:bookmarkStart w:id="1035" w:name="_Toc287607884"/>
      <w:bookmarkStart w:id="1036" w:name="_Toc430530547"/>
      <w:bookmarkStart w:id="1037" w:name="_Toc277082658"/>
      <w:r>
        <w:rPr>
          <w:rFonts w:hint="eastAsia" w:ascii="宋体" w:hAnsi="宋体" w:cs="宋体"/>
          <w:b w:val="0"/>
          <w:bCs/>
          <w:color w:val="auto"/>
          <w:highlight w:val="none"/>
        </w:rPr>
        <w:t>（二）</w:t>
      </w:r>
      <w:r>
        <w:rPr>
          <w:rFonts w:hint="eastAsia" w:ascii="宋体" w:hAnsi="宋体" w:cs="宋体"/>
          <w:b w:val="0"/>
          <w:bCs/>
          <w:snapToGrid w:val="0"/>
          <w:color w:val="auto"/>
          <w:highlight w:val="none"/>
        </w:rPr>
        <w:t>制造商资格声明</w:t>
      </w:r>
      <w:r>
        <w:rPr>
          <w:rFonts w:hint="eastAsia" w:ascii="宋体" w:hAnsi="宋体" w:cs="宋体"/>
          <w:b w:val="0"/>
          <w:bCs/>
          <w:color w:val="auto"/>
          <w:szCs w:val="21"/>
          <w:highlight w:val="none"/>
        </w:rPr>
        <w:t>（制造商投标时提供）</w:t>
      </w:r>
      <w:r>
        <w:rPr>
          <w:rFonts w:hint="eastAsia" w:ascii="宋体" w:hAnsi="宋体" w:cs="宋体"/>
          <w:b w:val="0"/>
          <w:bCs/>
          <w:snapToGrid w:val="0"/>
          <w:color w:val="auto"/>
          <w:highlight w:val="none"/>
        </w:rPr>
        <w:t>或</w:t>
      </w:r>
      <w:r>
        <w:rPr>
          <w:rFonts w:hint="eastAsia" w:ascii="宋体" w:hAnsi="宋体" w:cs="宋体"/>
          <w:b w:val="0"/>
          <w:bCs/>
          <w:color w:val="auto"/>
          <w:highlight w:val="none"/>
        </w:rPr>
        <w:t>制造商授权书（代理商投标时提供）</w:t>
      </w:r>
      <w:bookmarkEnd w:id="1032"/>
    </w:p>
    <w:p w14:paraId="7F034ED9">
      <w:pPr>
        <w:pStyle w:val="2"/>
        <w:rPr>
          <w:rFonts w:ascii="宋体" w:hAnsi="宋体" w:cs="宋体"/>
          <w:b w:val="0"/>
          <w:bCs/>
          <w:color w:val="auto"/>
          <w:highlight w:val="none"/>
        </w:rPr>
      </w:pPr>
    </w:p>
    <w:p w14:paraId="7F034EDA">
      <w:pPr>
        <w:spacing w:before="149"/>
        <w:ind w:left="3280" w:right="3393"/>
        <w:jc w:val="center"/>
        <w:rPr>
          <w:rFonts w:ascii="宋体" w:hAnsi="宋体" w:cs="宋体"/>
          <w:b w:val="0"/>
          <w:bCs/>
          <w:color w:val="auto"/>
          <w:sz w:val="28"/>
          <w:highlight w:val="none"/>
        </w:rPr>
      </w:pPr>
      <w:r>
        <w:rPr>
          <w:rFonts w:hint="eastAsia" w:ascii="宋体" w:hAnsi="宋体" w:cs="宋体"/>
          <w:b w:val="0"/>
          <w:bCs/>
          <w:color w:val="auto"/>
          <w:sz w:val="28"/>
          <w:highlight w:val="none"/>
        </w:rPr>
        <w:t>制造商资格声明</w:t>
      </w:r>
    </w:p>
    <w:p w14:paraId="7F034EDB">
      <w:pPr>
        <w:spacing w:line="360" w:lineRule="auto"/>
        <w:ind w:firstLine="420"/>
        <w:rPr>
          <w:rFonts w:hint="eastAsia" w:ascii="宋体" w:hAnsi="宋体" w:cs="宋体"/>
          <w:b w:val="0"/>
          <w:bCs/>
          <w:color w:val="auto"/>
          <w:szCs w:val="21"/>
          <w:highlight w:val="none"/>
        </w:rPr>
      </w:pPr>
    </w:p>
    <w:p w14:paraId="7F034EDC">
      <w:pPr>
        <w:spacing w:line="360" w:lineRule="auto"/>
        <w:ind w:firstLine="420" w:firstLineChars="200"/>
        <w:rPr>
          <w:rFonts w:hint="eastAsia" w:ascii="宋体" w:hAnsi="宋体" w:cs="宋体"/>
          <w:b w:val="0"/>
          <w:bCs/>
          <w:color w:val="auto"/>
          <w:kern w:val="0"/>
          <w:szCs w:val="21"/>
          <w:highlight w:val="none"/>
          <w:u w:val="single"/>
        </w:rPr>
      </w:pPr>
      <w:r>
        <w:rPr>
          <w:rFonts w:hint="eastAsia" w:ascii="宋体" w:hAnsi="宋体" w:cs="宋体"/>
          <w:b w:val="0"/>
          <w:bCs/>
          <w:color w:val="auto"/>
          <w:szCs w:val="21"/>
          <w:highlight w:val="none"/>
        </w:rPr>
        <w:t>1.制造商基本情况</w:t>
      </w:r>
    </w:p>
    <w:p w14:paraId="7F034EDD">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制造商名称：</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DE">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制造商地址：</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DF">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成立和/或注册日期：</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0">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注册资金：</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1">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近期资产负债表（从</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月至</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月止 ）</w:t>
      </w:r>
    </w:p>
    <w:p w14:paraId="7F034EE2">
      <w:pPr>
        <w:numPr>
          <w:ilvl w:val="255"/>
          <w:numId w:val="0"/>
        </w:numPr>
        <w:autoSpaceDE w:val="0"/>
        <w:autoSpaceDN w:val="0"/>
        <w:spacing w:line="360" w:lineRule="auto"/>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kern w:val="0"/>
          <w:szCs w:val="21"/>
          <w:highlight w:val="none"/>
        </w:rPr>
        <w:t>a.固定资产</w:t>
      </w:r>
      <w:r>
        <w:rPr>
          <w:rFonts w:hint="eastAsia" w:ascii="宋体" w:hAnsi="宋体" w:cs="宋体"/>
          <w:b w:val="0"/>
          <w:bCs/>
          <w:color w:val="auto"/>
          <w:szCs w:val="21"/>
          <w:highlight w:val="none"/>
        </w:rPr>
        <w:t>：</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3">
      <w:pPr>
        <w:numPr>
          <w:ilvl w:val="255"/>
          <w:numId w:val="0"/>
        </w:numPr>
        <w:autoSpaceDE w:val="0"/>
        <w:autoSpaceDN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b.流动资产：</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4">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kern w:val="0"/>
          <w:szCs w:val="21"/>
          <w:highlight w:val="none"/>
        </w:rPr>
        <w:t>c.资产负债率：</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5">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2.制造商生产经营情况</w:t>
      </w:r>
    </w:p>
    <w:p w14:paraId="7F034EE6">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（1）近 3 年的年营业额：</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7">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（2）投标产品年生产能力：</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8">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（3）投标产品年销售业绩：</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9">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a.主要客户名称：</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A">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b.主要客户联系方式：</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B">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c.合同名称及合同号：</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EEC">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兹证明上述声明是真实、正确的，并提供了全部能提供的资料和数据，我们同意遵照贵方要求出示有关证明文件。</w:t>
      </w:r>
    </w:p>
    <w:p w14:paraId="7F034EED">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p>
    <w:p w14:paraId="7F034EEE">
      <w:pPr>
        <w:pStyle w:val="2"/>
        <w:rPr>
          <w:rFonts w:ascii="宋体" w:hAnsi="宋体" w:cs="宋体"/>
          <w:b w:val="0"/>
          <w:bCs/>
          <w:color w:val="auto"/>
          <w:highlight w:val="none"/>
        </w:rPr>
      </w:pPr>
    </w:p>
    <w:p w14:paraId="7F034EEF">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盖单位公章：</w:t>
      </w:r>
      <w:r>
        <w:rPr>
          <w:rFonts w:hint="eastAsia" w:ascii="宋体" w:hAnsi="宋体" w:cs="宋体"/>
          <w:b w:val="0"/>
          <w:bCs/>
          <w:color w:val="auto"/>
          <w:szCs w:val="21"/>
          <w:highlight w:val="none"/>
          <w:u w:val="single"/>
        </w:rPr>
        <w:t xml:space="preserve">                                      </w:t>
      </w:r>
    </w:p>
    <w:p w14:paraId="7F034EF0">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szCs w:val="21"/>
          <w:highlight w:val="none"/>
        </w:rPr>
        <w:t>法定代表人或授权委托人（签字）：</w:t>
      </w:r>
      <w:r>
        <w:rPr>
          <w:rFonts w:hint="eastAsia" w:ascii="宋体" w:hAnsi="宋体" w:cs="宋体"/>
          <w:b w:val="0"/>
          <w:bCs/>
          <w:color w:val="auto"/>
          <w:szCs w:val="21"/>
          <w:highlight w:val="none"/>
          <w:u w:val="single"/>
        </w:rPr>
        <w:t xml:space="preserve">                  </w:t>
      </w:r>
    </w:p>
    <w:p w14:paraId="7F034EF1">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传       真 ：</w:t>
      </w:r>
      <w:r>
        <w:rPr>
          <w:rFonts w:hint="eastAsia" w:ascii="宋体" w:hAnsi="宋体" w:cs="宋体"/>
          <w:b w:val="0"/>
          <w:bCs/>
          <w:color w:val="auto"/>
          <w:szCs w:val="21"/>
          <w:highlight w:val="none"/>
          <w:u w:val="single"/>
        </w:rPr>
        <w:t xml:space="preserve">                                    </w:t>
      </w:r>
    </w:p>
    <w:p w14:paraId="7F034EF2">
      <w:pPr>
        <w:autoSpaceDE w:val="0"/>
        <w:autoSpaceDN w:val="0"/>
        <w:adjustRightInd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电       话：</w:t>
      </w:r>
      <w:r>
        <w:rPr>
          <w:rFonts w:hint="eastAsia" w:ascii="宋体" w:hAnsi="宋体" w:cs="宋体"/>
          <w:b w:val="0"/>
          <w:bCs/>
          <w:color w:val="auto"/>
          <w:szCs w:val="21"/>
          <w:highlight w:val="none"/>
          <w:u w:val="single"/>
        </w:rPr>
        <w:t xml:space="preserve">                                     </w:t>
      </w:r>
    </w:p>
    <w:p w14:paraId="7F034EF3">
      <w:pPr>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电 子 邮 件：</w:t>
      </w:r>
      <w:r>
        <w:rPr>
          <w:rFonts w:hint="eastAsia" w:ascii="宋体" w:hAnsi="宋体" w:cs="宋体"/>
          <w:b w:val="0"/>
          <w:bCs/>
          <w:color w:val="auto"/>
          <w:szCs w:val="21"/>
          <w:highlight w:val="none"/>
          <w:u w:val="single"/>
        </w:rPr>
        <w:t xml:space="preserve">                                     </w:t>
      </w:r>
    </w:p>
    <w:p w14:paraId="7F034EF4">
      <w:pPr>
        <w:spacing w:line="360" w:lineRule="auto"/>
        <w:ind w:firstLine="420" w:firstLineChars="200"/>
        <w:rPr>
          <w:rFonts w:ascii="宋体" w:hAnsi="宋体" w:cs="宋体"/>
          <w:b w:val="0"/>
          <w:bCs/>
          <w:color w:val="auto"/>
          <w:highlight w:val="none"/>
        </w:rPr>
      </w:pPr>
      <w:r>
        <w:rPr>
          <w:rFonts w:hint="eastAsia" w:ascii="宋体" w:hAnsi="宋体" w:cs="宋体"/>
          <w:b w:val="0"/>
          <w:bCs/>
          <w:color w:val="auto"/>
          <w:kern w:val="0"/>
          <w:szCs w:val="21"/>
          <w:highlight w:val="none"/>
        </w:rPr>
        <w:t>签 字 日 期：</w:t>
      </w:r>
      <w:r>
        <w:rPr>
          <w:rFonts w:hint="eastAsia" w:ascii="宋体" w:hAnsi="宋体" w:cs="宋体"/>
          <w:b w:val="0"/>
          <w:bCs/>
          <w:color w:val="auto"/>
          <w:szCs w:val="21"/>
          <w:highlight w:val="none"/>
          <w:u w:val="single"/>
        </w:rPr>
        <w:t xml:space="preserve">                                  </w:t>
      </w:r>
      <w:r>
        <w:rPr>
          <w:rFonts w:hint="eastAsia" w:ascii="宋体" w:hAnsi="宋体" w:cs="宋体"/>
          <w:b w:val="0"/>
          <w:bCs/>
          <w:color w:val="auto"/>
          <w:sz w:val="24"/>
          <w:highlight w:val="none"/>
          <w:u w:val="single"/>
        </w:rPr>
        <w:t xml:space="preserve">   </w:t>
      </w:r>
    </w:p>
    <w:p w14:paraId="7F034EF5">
      <w:pPr>
        <w:rPr>
          <w:rFonts w:ascii="宋体" w:hAnsi="宋体" w:cs="宋体"/>
          <w:b w:val="0"/>
          <w:bCs/>
          <w:color w:val="auto"/>
          <w:highlight w:val="none"/>
        </w:rPr>
      </w:pPr>
      <w:r>
        <w:rPr>
          <w:rFonts w:ascii="宋体" w:hAnsi="宋体" w:cs="宋体"/>
          <w:b w:val="0"/>
          <w:bCs/>
          <w:color w:val="auto"/>
          <w:highlight w:val="none"/>
        </w:rPr>
        <w:br w:type="page"/>
      </w:r>
    </w:p>
    <w:p w14:paraId="7F034EF6">
      <w:pPr>
        <w:rPr>
          <w:rFonts w:ascii="宋体" w:hAnsi="宋体" w:cs="宋体"/>
          <w:b w:val="0"/>
          <w:bCs/>
          <w:color w:val="auto"/>
          <w:highlight w:val="none"/>
        </w:rPr>
      </w:pPr>
    </w:p>
    <w:p w14:paraId="7F034EF7">
      <w:pPr>
        <w:spacing w:before="149"/>
        <w:ind w:left="3280" w:right="3393"/>
        <w:jc w:val="center"/>
        <w:rPr>
          <w:rFonts w:ascii="宋体" w:hAnsi="宋体" w:cs="宋体"/>
          <w:b w:val="0"/>
          <w:bCs/>
          <w:color w:val="auto"/>
          <w:sz w:val="28"/>
          <w:highlight w:val="none"/>
        </w:rPr>
      </w:pPr>
      <w:r>
        <w:rPr>
          <w:rFonts w:hint="eastAsia" w:ascii="宋体" w:hAnsi="宋体" w:cs="宋体"/>
          <w:b w:val="0"/>
          <w:bCs/>
          <w:color w:val="auto"/>
          <w:sz w:val="28"/>
          <w:highlight w:val="none"/>
        </w:rPr>
        <w:t>制造商授权书</w:t>
      </w:r>
    </w:p>
    <w:p w14:paraId="7F034EF8">
      <w:pPr>
        <w:pStyle w:val="2"/>
        <w:rPr>
          <w:rFonts w:ascii="宋体" w:hAnsi="宋体" w:cs="宋体"/>
          <w:b w:val="0"/>
          <w:bCs/>
          <w:color w:val="auto"/>
          <w:sz w:val="20"/>
          <w:highlight w:val="none"/>
        </w:rPr>
      </w:pPr>
    </w:p>
    <w:p w14:paraId="7F034EF9">
      <w:pPr>
        <w:pStyle w:val="2"/>
        <w:rPr>
          <w:rFonts w:ascii="宋体" w:hAnsi="宋体" w:cs="宋体"/>
          <w:b w:val="0"/>
          <w:bCs/>
          <w:color w:val="auto"/>
          <w:sz w:val="20"/>
          <w:highlight w:val="none"/>
        </w:rPr>
      </w:pPr>
    </w:p>
    <w:p w14:paraId="7F034EFA">
      <w:pPr>
        <w:autoSpaceDE w:val="0"/>
        <w:autoSpaceDN w:val="0"/>
        <w:adjustRightInd w:val="0"/>
        <w:snapToGrid w:val="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u w:val="single"/>
        </w:rPr>
        <w:tab/>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（招标人）</w:t>
      </w:r>
    </w:p>
    <w:p w14:paraId="7F034EFB">
      <w:pPr>
        <w:pStyle w:val="2"/>
        <w:spacing w:before="3"/>
        <w:rPr>
          <w:rFonts w:ascii="宋体" w:hAnsi="宋体" w:cs="宋体"/>
          <w:b w:val="0"/>
          <w:bCs/>
          <w:color w:val="auto"/>
          <w:sz w:val="9"/>
          <w:highlight w:val="none"/>
        </w:rPr>
      </w:pPr>
    </w:p>
    <w:p w14:paraId="7F034EFC">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 xml:space="preserve">我单位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（制造商名称）是按</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（国家／地区名称）法律成立的一家制造商，主要营业地点设在</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（制造商地址）。兹授权按</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（国家／地区 名称）的法律正式成立的，主要营业地点设在</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（投标人的单位地址）的</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（投标人名称）以我单位制造的</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 xml:space="preserve">（设备名称）进行 </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 xml:space="preserve">（项目名称）投标活动。我单位同意按照中标合同供货，并对产品质量承担责任。 </w:t>
      </w:r>
    </w:p>
    <w:p w14:paraId="7F034EFD">
      <w:pPr>
        <w:autoSpaceDE w:val="0"/>
        <w:autoSpaceDN w:val="0"/>
        <w:adjustRightInd w:val="0"/>
        <w:snapToGrid w:val="0"/>
        <w:rPr>
          <w:rFonts w:hint="eastAsia" w:ascii="宋体" w:hAnsi="宋体" w:cs="宋体"/>
          <w:b w:val="0"/>
          <w:bCs/>
          <w:color w:val="auto"/>
          <w:highlight w:val="none"/>
        </w:rPr>
      </w:pPr>
      <w:r>
        <w:rPr>
          <w:rFonts w:hint="eastAsia" w:ascii="宋体" w:hAnsi="宋体" w:cs="宋体"/>
          <w:b w:val="0"/>
          <w:bCs/>
          <w:color w:val="auto"/>
          <w:kern w:val="0"/>
          <w:szCs w:val="21"/>
          <w:highlight w:val="none"/>
        </w:rPr>
        <w:t>授权期限：</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highlight w:val="none"/>
        </w:rPr>
        <w:t xml:space="preserve">。  </w:t>
      </w:r>
    </w:p>
    <w:p w14:paraId="7F034EFE">
      <w:pPr>
        <w:pStyle w:val="2"/>
        <w:rPr>
          <w:rFonts w:ascii="宋体" w:hAnsi="宋体" w:cs="宋体"/>
          <w:b w:val="0"/>
          <w:bCs/>
          <w:color w:val="auto"/>
          <w:sz w:val="20"/>
          <w:highlight w:val="none"/>
        </w:rPr>
      </w:pPr>
    </w:p>
    <w:p w14:paraId="7F034EFF">
      <w:pPr>
        <w:pStyle w:val="2"/>
        <w:rPr>
          <w:rFonts w:ascii="宋体" w:hAnsi="宋体" w:cs="宋体"/>
          <w:b w:val="0"/>
          <w:bCs/>
          <w:color w:val="auto"/>
          <w:sz w:val="20"/>
          <w:highlight w:val="none"/>
        </w:rPr>
      </w:pPr>
    </w:p>
    <w:p w14:paraId="7F034F00">
      <w:pPr>
        <w:pStyle w:val="2"/>
        <w:spacing w:after="0" w:line="360" w:lineRule="auto"/>
        <w:rPr>
          <w:rFonts w:ascii="宋体" w:hAnsi="宋体" w:cs="宋体"/>
          <w:b w:val="0"/>
          <w:bCs/>
          <w:color w:val="auto"/>
          <w:sz w:val="26"/>
          <w:highlight w:val="none"/>
        </w:rPr>
      </w:pPr>
    </w:p>
    <w:p w14:paraId="7F034F01">
      <w:pPr>
        <w:pStyle w:val="2"/>
        <w:tabs>
          <w:tab w:val="left" w:pos="3040"/>
          <w:tab w:val="left" w:pos="4512"/>
          <w:tab w:val="left" w:pos="7572"/>
        </w:tabs>
        <w:spacing w:after="0" w:line="360" w:lineRule="auto"/>
        <w:rPr>
          <w:rFonts w:ascii="宋体" w:hAnsi="宋体" w:cs="宋体"/>
          <w:b w:val="0"/>
          <w:bCs/>
          <w:color w:val="auto"/>
          <w:sz w:val="9"/>
          <w:highlight w:val="none"/>
        </w:rPr>
      </w:pPr>
      <w:r>
        <w:rPr>
          <w:rFonts w:hint="eastAsia" w:ascii="宋体" w:hAnsi="宋体" w:cs="宋体"/>
          <w:b w:val="0"/>
          <w:bCs/>
          <w:color w:val="auto"/>
          <w:highlight w:val="none"/>
        </w:rPr>
        <w:t>投标</w:t>
      </w:r>
      <w:r>
        <w:rPr>
          <w:rFonts w:hint="eastAsia" w:ascii="宋体" w:hAnsi="宋体" w:cs="宋体"/>
          <w:b w:val="0"/>
          <w:bCs/>
          <w:color w:val="auto"/>
          <w:spacing w:val="-3"/>
          <w:highlight w:val="none"/>
        </w:rPr>
        <w:t>人</w:t>
      </w:r>
      <w:r>
        <w:rPr>
          <w:rFonts w:hint="eastAsia" w:ascii="宋体" w:hAnsi="宋体" w:cs="宋体"/>
          <w:b w:val="0"/>
          <w:bCs/>
          <w:color w:val="auto"/>
          <w:highlight w:val="none"/>
        </w:rPr>
        <w:t>名</w:t>
      </w:r>
      <w:r>
        <w:rPr>
          <w:rFonts w:hint="eastAsia" w:ascii="宋体" w:hAnsi="宋体" w:cs="宋体"/>
          <w:b w:val="0"/>
          <w:bCs/>
          <w:color w:val="auto"/>
          <w:spacing w:val="-3"/>
          <w:highlight w:val="none"/>
        </w:rPr>
        <w:t>称</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r>
        <w:rPr>
          <w:rFonts w:hint="eastAsia" w:ascii="宋体" w:hAnsi="宋体" w:cs="宋体"/>
          <w:b w:val="0"/>
          <w:bCs/>
          <w:color w:val="auto"/>
          <w:highlight w:val="none"/>
        </w:rPr>
        <w:t>（</w:t>
      </w:r>
      <w:r>
        <w:rPr>
          <w:rFonts w:hint="eastAsia" w:ascii="宋体" w:hAnsi="宋体" w:cs="宋体"/>
          <w:b w:val="0"/>
          <w:bCs/>
          <w:color w:val="auto"/>
          <w:spacing w:val="-3"/>
          <w:highlight w:val="none"/>
        </w:rPr>
        <w:t>盖</w:t>
      </w:r>
      <w:r>
        <w:rPr>
          <w:rFonts w:hint="eastAsia" w:ascii="宋体" w:hAnsi="宋体" w:cs="宋体"/>
          <w:b w:val="0"/>
          <w:bCs/>
          <w:color w:val="auto"/>
          <w:highlight w:val="none"/>
        </w:rPr>
        <w:t>单</w:t>
      </w:r>
      <w:r>
        <w:rPr>
          <w:rFonts w:hint="eastAsia" w:ascii="宋体" w:hAnsi="宋体" w:cs="宋体"/>
          <w:b w:val="0"/>
          <w:bCs/>
          <w:color w:val="auto"/>
          <w:spacing w:val="-3"/>
          <w:highlight w:val="none"/>
        </w:rPr>
        <w:t>位</w:t>
      </w:r>
      <w:r>
        <w:rPr>
          <w:rFonts w:hint="eastAsia" w:ascii="宋体" w:hAnsi="宋体" w:cs="宋体"/>
          <w:b w:val="0"/>
          <w:bCs/>
          <w:color w:val="auto"/>
          <w:highlight w:val="none"/>
        </w:rPr>
        <w:t>章）</w:t>
      </w:r>
      <w:r>
        <w:rPr>
          <w:rFonts w:ascii="宋体" w:hAnsi="宋体" w:cs="宋体"/>
          <w:b w:val="0"/>
          <w:bCs/>
          <w:color w:val="auto"/>
          <w:highlight w:val="none"/>
        </w:rPr>
        <w:tab/>
      </w:r>
      <w:r>
        <w:rPr>
          <w:rFonts w:hint="eastAsia" w:ascii="宋体" w:hAnsi="宋体" w:cs="宋体"/>
          <w:b w:val="0"/>
          <w:bCs/>
          <w:color w:val="auto"/>
          <w:spacing w:val="-3"/>
          <w:highlight w:val="none"/>
        </w:rPr>
        <w:t>制造</w:t>
      </w:r>
      <w:r>
        <w:rPr>
          <w:rFonts w:hint="eastAsia" w:ascii="宋体" w:hAnsi="宋体" w:cs="宋体"/>
          <w:b w:val="0"/>
          <w:bCs/>
          <w:color w:val="auto"/>
          <w:highlight w:val="none"/>
        </w:rPr>
        <w:t>商名</w:t>
      </w:r>
      <w:r>
        <w:rPr>
          <w:rFonts w:hint="eastAsia" w:ascii="宋体" w:hAnsi="宋体" w:cs="宋体"/>
          <w:b w:val="0"/>
          <w:bCs/>
          <w:color w:val="auto"/>
          <w:spacing w:val="-3"/>
          <w:highlight w:val="none"/>
        </w:rPr>
        <w:t>称</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r>
        <w:rPr>
          <w:rFonts w:hint="eastAsia" w:ascii="宋体" w:hAnsi="宋体" w:cs="宋体"/>
          <w:b w:val="0"/>
          <w:bCs/>
          <w:color w:val="auto"/>
          <w:highlight w:val="none"/>
        </w:rPr>
        <w:t>（盖单位章）</w:t>
      </w:r>
    </w:p>
    <w:p w14:paraId="7F034F02">
      <w:pPr>
        <w:pStyle w:val="2"/>
        <w:tabs>
          <w:tab w:val="left" w:pos="4350"/>
          <w:tab w:val="left" w:pos="8758"/>
        </w:tabs>
        <w:spacing w:after="0" w:line="360" w:lineRule="auto"/>
        <w:rPr>
          <w:rFonts w:ascii="宋体" w:hAnsi="宋体" w:cs="宋体"/>
          <w:b w:val="0"/>
          <w:bCs/>
          <w:color w:val="auto"/>
          <w:sz w:val="10"/>
          <w:highlight w:val="none"/>
        </w:rPr>
      </w:pPr>
      <w:r>
        <w:rPr>
          <w:rFonts w:hint="eastAsia" w:ascii="宋体" w:hAnsi="宋体" w:cs="宋体"/>
          <w:b w:val="0"/>
          <w:bCs/>
          <w:color w:val="auto"/>
          <w:highlight w:val="none"/>
        </w:rPr>
        <w:t>签字</w:t>
      </w:r>
      <w:r>
        <w:rPr>
          <w:rFonts w:hint="eastAsia" w:ascii="宋体" w:hAnsi="宋体" w:cs="宋体"/>
          <w:b w:val="0"/>
          <w:bCs/>
          <w:color w:val="auto"/>
          <w:spacing w:val="-3"/>
          <w:highlight w:val="none"/>
        </w:rPr>
        <w:t>人</w:t>
      </w:r>
      <w:r>
        <w:rPr>
          <w:rFonts w:hint="eastAsia" w:ascii="宋体" w:hAnsi="宋体" w:cs="宋体"/>
          <w:b w:val="0"/>
          <w:bCs/>
          <w:color w:val="auto"/>
          <w:highlight w:val="none"/>
        </w:rPr>
        <w:t>职</w:t>
      </w:r>
      <w:r>
        <w:rPr>
          <w:rFonts w:hint="eastAsia" w:ascii="宋体" w:hAnsi="宋体" w:cs="宋体"/>
          <w:b w:val="0"/>
          <w:bCs/>
          <w:color w:val="auto"/>
          <w:spacing w:val="-3"/>
          <w:highlight w:val="none"/>
        </w:rPr>
        <w:t>务</w:t>
      </w:r>
      <w:r>
        <w:rPr>
          <w:rFonts w:hint="eastAsia" w:ascii="宋体" w:hAnsi="宋体" w:cs="宋体"/>
          <w:b w:val="0"/>
          <w:bCs/>
          <w:color w:val="auto"/>
          <w:highlight w:val="none"/>
        </w:rPr>
        <w:t>：</w:t>
      </w:r>
      <w:r>
        <w:rPr>
          <w:rFonts w:ascii="宋体" w:hAnsi="宋体" w:cs="宋体"/>
          <w:b w:val="0"/>
          <w:bCs/>
          <w:color w:val="auto"/>
          <w:highlight w:val="none"/>
          <w:u w:val="single"/>
        </w:rPr>
        <w:tab/>
      </w:r>
      <w:r>
        <w:rPr>
          <w:rFonts w:hint="eastAsia" w:ascii="宋体" w:hAnsi="宋体" w:cs="宋体"/>
          <w:b w:val="0"/>
          <w:bCs/>
          <w:color w:val="auto"/>
          <w:spacing w:val="-3"/>
          <w:highlight w:val="none"/>
        </w:rPr>
        <w:t>签字</w:t>
      </w:r>
      <w:r>
        <w:rPr>
          <w:rFonts w:hint="eastAsia" w:ascii="宋体" w:hAnsi="宋体" w:cs="宋体"/>
          <w:b w:val="0"/>
          <w:bCs/>
          <w:color w:val="auto"/>
          <w:highlight w:val="none"/>
        </w:rPr>
        <w:t>人职</w:t>
      </w:r>
      <w:r>
        <w:rPr>
          <w:rFonts w:hint="eastAsia" w:ascii="宋体" w:hAnsi="宋体" w:cs="宋体"/>
          <w:b w:val="0"/>
          <w:bCs/>
          <w:color w:val="auto"/>
          <w:spacing w:val="-3"/>
          <w:highlight w:val="none"/>
        </w:rPr>
        <w:t>务</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p>
    <w:p w14:paraId="7F034F03">
      <w:pPr>
        <w:pStyle w:val="2"/>
        <w:tabs>
          <w:tab w:val="left" w:pos="4350"/>
          <w:tab w:val="left" w:pos="8758"/>
        </w:tabs>
        <w:spacing w:after="0" w:line="360" w:lineRule="auto"/>
        <w:rPr>
          <w:rFonts w:ascii="宋体" w:hAnsi="宋体" w:cs="宋体"/>
          <w:b w:val="0"/>
          <w:bCs/>
          <w:color w:val="auto"/>
          <w:sz w:val="11"/>
          <w:highlight w:val="none"/>
        </w:rPr>
      </w:pPr>
      <w:r>
        <w:rPr>
          <w:rFonts w:hint="eastAsia" w:ascii="宋体" w:hAnsi="宋体" w:cs="宋体"/>
          <w:b w:val="0"/>
          <w:bCs/>
          <w:color w:val="auto"/>
          <w:highlight w:val="none"/>
        </w:rPr>
        <w:t>签字</w:t>
      </w:r>
      <w:r>
        <w:rPr>
          <w:rFonts w:hint="eastAsia" w:ascii="宋体" w:hAnsi="宋体" w:cs="宋体"/>
          <w:b w:val="0"/>
          <w:bCs/>
          <w:color w:val="auto"/>
          <w:spacing w:val="-3"/>
          <w:highlight w:val="none"/>
        </w:rPr>
        <w:t>人</w:t>
      </w:r>
      <w:r>
        <w:rPr>
          <w:rFonts w:hint="eastAsia" w:ascii="宋体" w:hAnsi="宋体" w:cs="宋体"/>
          <w:b w:val="0"/>
          <w:bCs/>
          <w:color w:val="auto"/>
          <w:highlight w:val="none"/>
        </w:rPr>
        <w:t>姓</w:t>
      </w:r>
      <w:r>
        <w:rPr>
          <w:rFonts w:hint="eastAsia" w:ascii="宋体" w:hAnsi="宋体" w:cs="宋体"/>
          <w:b w:val="0"/>
          <w:bCs/>
          <w:color w:val="auto"/>
          <w:spacing w:val="-3"/>
          <w:highlight w:val="none"/>
        </w:rPr>
        <w:t>名</w:t>
      </w:r>
      <w:r>
        <w:rPr>
          <w:rFonts w:hint="eastAsia" w:ascii="宋体" w:hAnsi="宋体" w:cs="宋体"/>
          <w:b w:val="0"/>
          <w:bCs/>
          <w:color w:val="auto"/>
          <w:highlight w:val="none"/>
        </w:rPr>
        <w:t>：</w:t>
      </w:r>
      <w:r>
        <w:rPr>
          <w:rFonts w:ascii="宋体" w:hAnsi="宋体" w:cs="宋体"/>
          <w:b w:val="0"/>
          <w:bCs/>
          <w:color w:val="auto"/>
          <w:highlight w:val="none"/>
          <w:u w:val="single"/>
        </w:rPr>
        <w:tab/>
      </w:r>
      <w:r>
        <w:rPr>
          <w:rFonts w:hint="eastAsia" w:ascii="宋体" w:hAnsi="宋体" w:cs="宋体"/>
          <w:b w:val="0"/>
          <w:bCs/>
          <w:color w:val="auto"/>
          <w:spacing w:val="-3"/>
          <w:highlight w:val="none"/>
        </w:rPr>
        <w:t>签字</w:t>
      </w:r>
      <w:r>
        <w:rPr>
          <w:rFonts w:hint="eastAsia" w:ascii="宋体" w:hAnsi="宋体" w:cs="宋体"/>
          <w:b w:val="0"/>
          <w:bCs/>
          <w:color w:val="auto"/>
          <w:highlight w:val="none"/>
        </w:rPr>
        <w:t>人姓</w:t>
      </w:r>
      <w:r>
        <w:rPr>
          <w:rFonts w:hint="eastAsia" w:ascii="宋体" w:hAnsi="宋体" w:cs="宋体"/>
          <w:b w:val="0"/>
          <w:bCs/>
          <w:color w:val="auto"/>
          <w:spacing w:val="-3"/>
          <w:highlight w:val="none"/>
        </w:rPr>
        <w:t>名</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p>
    <w:p w14:paraId="7F034F04">
      <w:pPr>
        <w:pStyle w:val="2"/>
        <w:tabs>
          <w:tab w:val="left" w:pos="4350"/>
          <w:tab w:val="left" w:pos="8758"/>
        </w:tabs>
        <w:spacing w:after="0" w:line="360" w:lineRule="auto"/>
        <w:rPr>
          <w:rFonts w:ascii="宋体" w:hAnsi="宋体" w:cs="宋体"/>
          <w:b w:val="0"/>
          <w:bCs/>
          <w:color w:val="auto"/>
          <w:highlight w:val="none"/>
        </w:rPr>
      </w:pPr>
      <w:r>
        <w:rPr>
          <w:rFonts w:hint="eastAsia" w:ascii="宋体" w:hAnsi="宋体" w:cs="宋体"/>
          <w:b w:val="0"/>
          <w:bCs/>
          <w:color w:val="auto"/>
          <w:highlight w:val="none"/>
        </w:rPr>
        <w:t>签字</w:t>
      </w:r>
      <w:r>
        <w:rPr>
          <w:rFonts w:hint="eastAsia" w:ascii="宋体" w:hAnsi="宋体" w:cs="宋体"/>
          <w:b w:val="0"/>
          <w:bCs/>
          <w:color w:val="auto"/>
          <w:spacing w:val="-3"/>
          <w:highlight w:val="none"/>
        </w:rPr>
        <w:t>人</w:t>
      </w:r>
      <w:r>
        <w:rPr>
          <w:rFonts w:hint="eastAsia" w:ascii="宋体" w:hAnsi="宋体" w:cs="宋体"/>
          <w:b w:val="0"/>
          <w:bCs/>
          <w:color w:val="auto"/>
          <w:highlight w:val="none"/>
        </w:rPr>
        <w:t>签</w:t>
      </w:r>
      <w:r>
        <w:rPr>
          <w:rFonts w:hint="eastAsia" w:ascii="宋体" w:hAnsi="宋体" w:cs="宋体"/>
          <w:b w:val="0"/>
          <w:bCs/>
          <w:color w:val="auto"/>
          <w:spacing w:val="-3"/>
          <w:highlight w:val="none"/>
        </w:rPr>
        <w:t>名</w:t>
      </w:r>
      <w:r>
        <w:rPr>
          <w:rFonts w:hint="eastAsia" w:ascii="宋体" w:hAnsi="宋体" w:cs="宋体"/>
          <w:b w:val="0"/>
          <w:bCs/>
          <w:color w:val="auto"/>
          <w:highlight w:val="none"/>
        </w:rPr>
        <w:t>：</w:t>
      </w:r>
      <w:r>
        <w:rPr>
          <w:rFonts w:ascii="宋体" w:hAnsi="宋体" w:cs="宋体"/>
          <w:b w:val="0"/>
          <w:bCs/>
          <w:color w:val="auto"/>
          <w:highlight w:val="none"/>
          <w:u w:val="single"/>
        </w:rPr>
        <w:tab/>
      </w:r>
      <w:r>
        <w:rPr>
          <w:rFonts w:hint="eastAsia" w:ascii="宋体" w:hAnsi="宋体" w:cs="宋体"/>
          <w:b w:val="0"/>
          <w:bCs/>
          <w:color w:val="auto"/>
          <w:spacing w:val="-3"/>
          <w:highlight w:val="none"/>
        </w:rPr>
        <w:t>签字</w:t>
      </w:r>
      <w:r>
        <w:rPr>
          <w:rFonts w:hint="eastAsia" w:ascii="宋体" w:hAnsi="宋体" w:cs="宋体"/>
          <w:b w:val="0"/>
          <w:bCs/>
          <w:color w:val="auto"/>
          <w:highlight w:val="none"/>
        </w:rPr>
        <w:t>人签</w:t>
      </w:r>
      <w:r>
        <w:rPr>
          <w:rFonts w:hint="eastAsia" w:ascii="宋体" w:hAnsi="宋体" w:cs="宋体"/>
          <w:b w:val="0"/>
          <w:bCs/>
          <w:color w:val="auto"/>
          <w:spacing w:val="-3"/>
          <w:highlight w:val="none"/>
        </w:rPr>
        <w:t>名</w:t>
      </w:r>
      <w:r>
        <w:rPr>
          <w:rFonts w:hint="eastAsia" w:ascii="宋体" w:hAnsi="宋体" w:cs="宋体"/>
          <w:b w:val="0"/>
          <w:bCs/>
          <w:color w:val="auto"/>
          <w:highlight w:val="none"/>
        </w:rPr>
        <w:t>：</w:t>
      </w:r>
      <w:r>
        <w:rPr>
          <w:rFonts w:ascii="宋体" w:hAnsi="宋体" w:cs="宋体"/>
          <w:b w:val="0"/>
          <w:bCs/>
          <w:color w:val="auto"/>
          <w:highlight w:val="none"/>
          <w:u w:val="single"/>
        </w:rPr>
        <w:t xml:space="preserve"> </w:t>
      </w:r>
      <w:r>
        <w:rPr>
          <w:rFonts w:ascii="宋体" w:hAnsi="宋体" w:cs="宋体"/>
          <w:b w:val="0"/>
          <w:bCs/>
          <w:color w:val="auto"/>
          <w:highlight w:val="none"/>
          <w:u w:val="single"/>
        </w:rPr>
        <w:tab/>
      </w:r>
    </w:p>
    <w:p w14:paraId="7F034F05">
      <w:pPr>
        <w:rPr>
          <w:rFonts w:hint="eastAsia" w:ascii="宋体" w:hAnsi="宋体" w:cs="宋体"/>
          <w:b w:val="0"/>
          <w:bCs/>
          <w:color w:val="auto"/>
          <w:highlight w:val="none"/>
        </w:rPr>
      </w:pPr>
    </w:p>
    <w:p w14:paraId="7F034F06">
      <w:pPr>
        <w:rPr>
          <w:rFonts w:ascii="宋体" w:hAnsi="宋体" w:cs="宋体"/>
          <w:b w:val="0"/>
          <w:bCs/>
          <w:color w:val="auto"/>
          <w:highlight w:val="none"/>
        </w:rPr>
      </w:pPr>
      <w:r>
        <w:rPr>
          <w:rFonts w:ascii="宋体" w:hAnsi="宋体" w:cs="宋体"/>
          <w:b w:val="0"/>
          <w:bCs/>
          <w:color w:val="auto"/>
          <w:highlight w:val="none"/>
        </w:rPr>
        <w:br w:type="page"/>
      </w:r>
    </w:p>
    <w:p w14:paraId="7F034F07">
      <w:pPr>
        <w:pStyle w:val="2"/>
        <w:rPr>
          <w:rFonts w:ascii="宋体" w:hAnsi="宋体" w:cs="宋体"/>
          <w:b w:val="0"/>
          <w:bCs/>
          <w:color w:val="auto"/>
          <w:highlight w:val="none"/>
        </w:rPr>
      </w:pPr>
    </w:p>
    <w:bookmarkEnd w:id="1033"/>
    <w:bookmarkEnd w:id="1034"/>
    <w:bookmarkEnd w:id="1035"/>
    <w:bookmarkEnd w:id="1036"/>
    <w:bookmarkEnd w:id="1037"/>
    <w:p w14:paraId="7F034F08">
      <w:pPr>
        <w:pStyle w:val="5"/>
        <w:spacing w:before="0" w:line="360" w:lineRule="auto"/>
        <w:jc w:val="center"/>
        <w:rPr>
          <w:rFonts w:hint="eastAsia" w:ascii="宋体" w:hAnsi="宋体" w:cs="宋体"/>
          <w:b w:val="0"/>
          <w:bCs/>
          <w:color w:val="auto"/>
          <w:highlight w:val="none"/>
        </w:rPr>
      </w:pPr>
      <w:bookmarkStart w:id="1038" w:name="_Toc509218866"/>
      <w:bookmarkStart w:id="1039" w:name="_Toc534185843"/>
      <w:bookmarkStart w:id="1040" w:name="_Toc430530552"/>
      <w:bookmarkStart w:id="1041" w:name="_Toc287607893"/>
      <w:bookmarkStart w:id="1042" w:name="_Toc277082663"/>
      <w:bookmarkStart w:id="1043" w:name="_Toc287620839"/>
      <w:bookmarkStart w:id="1044" w:name="_Toc224103520"/>
      <w:bookmarkStart w:id="1045" w:name="_Toc20097"/>
      <w:r>
        <w:rPr>
          <w:rFonts w:hint="eastAsia" w:ascii="宋体" w:hAnsi="宋体" w:cs="宋体"/>
          <w:b w:val="0"/>
          <w:bCs/>
          <w:color w:val="auto"/>
          <w:highlight w:val="none"/>
        </w:rPr>
        <w:t>（三）</w:t>
      </w:r>
      <w:bookmarkEnd w:id="1038"/>
      <w:bookmarkEnd w:id="1039"/>
      <w:bookmarkEnd w:id="1040"/>
      <w:bookmarkEnd w:id="1041"/>
      <w:bookmarkEnd w:id="1042"/>
      <w:bookmarkEnd w:id="1043"/>
      <w:bookmarkEnd w:id="1044"/>
      <w:r>
        <w:rPr>
          <w:rFonts w:hint="eastAsia" w:ascii="宋体" w:hAnsi="宋体" w:cs="宋体"/>
          <w:b w:val="0"/>
          <w:bCs/>
          <w:color w:val="auto"/>
          <w:highlight w:val="none"/>
        </w:rPr>
        <w:t>承诺</w:t>
      </w:r>
      <w:bookmarkEnd w:id="1045"/>
    </w:p>
    <w:p w14:paraId="7F034F09">
      <w:pPr>
        <w:snapToGrid w:val="0"/>
        <w:spacing w:line="400" w:lineRule="exact"/>
        <w:rPr>
          <w:rFonts w:hint="eastAsia" w:ascii="宋体" w:hAnsi="宋体" w:cs="宋体"/>
          <w:b w:val="0"/>
          <w:bCs/>
          <w:color w:val="auto"/>
          <w:szCs w:val="21"/>
          <w:highlight w:val="none"/>
          <w:u w:val="single"/>
        </w:rPr>
      </w:pPr>
      <w:r>
        <w:rPr>
          <w:rFonts w:hint="eastAsia" w:ascii="宋体" w:hAnsi="宋体" w:cs="宋体"/>
          <w:b w:val="0"/>
          <w:bCs/>
          <w:color w:val="auto"/>
          <w:szCs w:val="21"/>
          <w:highlight w:val="none"/>
          <w:u w:val="single"/>
        </w:rPr>
        <w:t xml:space="preserve">        （招标人名称。有两个及以上招标人的，请填写所有招标人名称）</w:t>
      </w:r>
      <w:r>
        <w:rPr>
          <w:rFonts w:hint="eastAsia" w:ascii="宋体" w:hAnsi="宋体" w:cs="宋体"/>
          <w:b w:val="0"/>
          <w:bCs/>
          <w:color w:val="auto"/>
          <w:szCs w:val="21"/>
          <w:highlight w:val="none"/>
        </w:rPr>
        <w:t>：</w:t>
      </w:r>
    </w:p>
    <w:p w14:paraId="7F034F0A">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我公司</w:t>
      </w:r>
      <w:r>
        <w:rPr>
          <w:rFonts w:hint="eastAsia" w:ascii="宋体" w:hAnsi="宋体" w:cs="宋体"/>
          <w:b w:val="0"/>
          <w:bCs/>
          <w:color w:val="auto"/>
          <w:szCs w:val="21"/>
          <w:highlight w:val="none"/>
          <w:u w:val="single"/>
        </w:rPr>
        <w:t xml:space="preserve">        （投标人名称）</w:t>
      </w:r>
      <w:r>
        <w:rPr>
          <w:rFonts w:hint="eastAsia" w:ascii="宋体" w:hAnsi="宋体" w:cs="宋体"/>
          <w:b w:val="0"/>
          <w:bCs/>
          <w:color w:val="auto"/>
          <w:szCs w:val="21"/>
          <w:highlight w:val="none"/>
        </w:rPr>
        <w:t>参加了贵单位</w:t>
      </w:r>
      <w:r>
        <w:rPr>
          <w:rFonts w:hint="eastAsia" w:ascii="宋体" w:hAnsi="宋体" w:cs="宋体"/>
          <w:b w:val="0"/>
          <w:bCs/>
          <w:color w:val="auto"/>
          <w:szCs w:val="21"/>
          <w:highlight w:val="none"/>
          <w:u w:val="single"/>
        </w:rPr>
        <w:t xml:space="preserve">        （项目名称）</w:t>
      </w:r>
      <w:r>
        <w:rPr>
          <w:rFonts w:hint="eastAsia" w:ascii="宋体" w:hAnsi="宋体" w:cs="宋体"/>
          <w:b w:val="0"/>
          <w:bCs/>
          <w:color w:val="auto"/>
          <w:szCs w:val="21"/>
          <w:highlight w:val="none"/>
        </w:rPr>
        <w:t>的投标，自愿作出以下承诺：</w:t>
      </w:r>
    </w:p>
    <w:p w14:paraId="7F034F0B">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1、投标截止日投标资格情况不存在下列情形之一：</w:t>
      </w:r>
    </w:p>
    <w:p w14:paraId="7F034F0C">
      <w:pPr>
        <w:snapToGrid w:val="0"/>
        <w:spacing w:line="40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（1）被人民法院列入失信被执行人名单且在被执行期内；</w:t>
      </w:r>
    </w:p>
    <w:p w14:paraId="7F034F0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（2）被国家、重庆市（含市或任意区县）有关行政部门处以暂停投标资格行政处罚或暂停在渝承揽新业务，且在暂停期限内。</w:t>
      </w:r>
    </w:p>
    <w:p w14:paraId="7F034F0E">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r>
        <w:rPr>
          <w:rFonts w:hint="eastAsia" w:ascii="宋体" w:hAnsi="宋体" w:cs="宋体"/>
          <w:b w:val="0"/>
          <w:bCs/>
          <w:color w:val="auto"/>
          <w:kern w:val="0"/>
          <w:highlight w:val="none"/>
        </w:rPr>
        <w:t>第二章“投标人须知”第1.4.3项规定的情形之一；第二章“投标人须知”第9.2款规定的情形之一。</w:t>
      </w:r>
    </w:p>
    <w:p w14:paraId="7F034F0F">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本投标文件中的所有内容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7F034F10">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3、我公司的投标文件符合第二章“投标人须知”第 1.3.1 项的规定。</w:t>
      </w:r>
    </w:p>
    <w:p w14:paraId="7F034F11">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4、我公司的投标文件符合招标文件</w:t>
      </w:r>
      <w:r>
        <w:rPr>
          <w:rFonts w:hint="eastAsia" w:ascii="宋体" w:hAnsi="宋体" w:cs="宋体"/>
          <w:b w:val="0"/>
          <w:bCs/>
          <w:color w:val="auto"/>
          <w:kern w:val="0"/>
          <w:highlight w:val="none"/>
        </w:rPr>
        <w:t>第四章“合同条款及格式”中的实质性要求和条件</w:t>
      </w:r>
      <w:r>
        <w:rPr>
          <w:rFonts w:hint="eastAsia" w:ascii="宋体" w:hAnsi="宋体" w:cs="宋体"/>
          <w:b w:val="0"/>
          <w:bCs/>
          <w:color w:val="auto"/>
          <w:szCs w:val="21"/>
          <w:highlight w:val="none"/>
        </w:rPr>
        <w:t>，投标文件中没有贵单位不能接受的条件。</w:t>
      </w:r>
    </w:p>
    <w:p w14:paraId="7F034F12">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5、我公司提供的投标货物的质量保证期时长，以及质量保证期内服务内容均满足招标文件的要求。</w:t>
      </w:r>
    </w:p>
    <w:p w14:paraId="7F034F13">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6、我公司提供的货物和服务完全满足招标文件第五章供货要求中的所有要求（投标文件《供货要求负偏差表》中响应为负偏差的条款除外）。中标后，招标人随时有权核验相关资料和检测产品，如果发现我公司提供的货物或服务不符合招标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ascii="宋体" w:hAnsi="宋体" w:cs="宋体"/>
          <w:b w:val="0"/>
          <w:bCs/>
          <w:color w:val="auto"/>
          <w:highlight w:val="none"/>
        </w:rPr>
        <w:t>。</w:t>
      </w:r>
    </w:p>
    <w:p w14:paraId="7F034F14">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7、我公司中标后按照招标人要求配置相关技术人员，并在签订合同时提供技术人员相关资格证书（如有）、</w:t>
      </w:r>
      <w:r>
        <w:rPr>
          <w:rFonts w:hint="eastAsia" w:ascii="宋体" w:hAnsi="宋体" w:cs="宋体"/>
          <w:b w:val="0"/>
          <w:bCs/>
          <w:color w:val="auto"/>
          <w:highlight w:val="none"/>
        </w:rPr>
        <w:t>我公司或我公司委托的第三方人力外包服务公司为其缴纳的养老保险证明材料</w:t>
      </w:r>
      <w:r>
        <w:rPr>
          <w:rFonts w:hint="eastAsia" w:ascii="宋体" w:hAnsi="宋体" w:cs="宋体"/>
          <w:b w:val="0"/>
          <w:bCs/>
          <w:color w:val="auto"/>
          <w:szCs w:val="21"/>
          <w:highlight w:val="none"/>
        </w:rPr>
        <w:t>。</w:t>
      </w:r>
    </w:p>
    <w:p w14:paraId="7F034F15">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8、我公司接受招标文件中关于“不允许负数报价”的相关要求（如有）。</w:t>
      </w:r>
    </w:p>
    <w:p w14:paraId="7F034F16">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9、我公司接受招标文件中关于“不允许零报价”的相关要求（如有）。</w:t>
      </w:r>
    </w:p>
    <w:p w14:paraId="7F034F17">
      <w:pPr>
        <w:snapToGrid w:val="0"/>
        <w:spacing w:line="400" w:lineRule="exact"/>
        <w:ind w:firstLine="420" w:firstLineChars="200"/>
        <w:rPr>
          <w:rFonts w:hint="eastAsia" w:ascii="宋体" w:hAnsi="宋体" w:cs="宋体"/>
          <w:b w:val="0"/>
          <w:bCs/>
          <w:color w:val="auto"/>
          <w:szCs w:val="21"/>
          <w:highlight w:val="none"/>
          <w:u w:val="single"/>
        </w:rPr>
      </w:pPr>
      <w:r>
        <w:rPr>
          <w:rFonts w:hint="eastAsia" w:ascii="宋体" w:hAnsi="宋体" w:cs="宋体"/>
          <w:b w:val="0"/>
          <w:bCs/>
          <w:color w:val="auto"/>
          <w:highlight w:val="none"/>
        </w:rPr>
        <w:t>10、</w:t>
      </w:r>
      <w:r>
        <w:rPr>
          <w:rFonts w:hint="eastAsia" w:ascii="宋体" w:hAnsi="宋体" w:cs="宋体"/>
          <w:b w:val="0"/>
          <w:bCs/>
          <w:color w:val="auto"/>
          <w:szCs w:val="21"/>
          <w:highlight w:val="none"/>
        </w:rPr>
        <w:t>其他承诺事项：</w:t>
      </w:r>
      <w:r>
        <w:rPr>
          <w:rFonts w:hint="eastAsia" w:ascii="宋体" w:hAnsi="宋体" w:cs="宋体"/>
          <w:b w:val="0"/>
          <w:bCs/>
          <w:color w:val="auto"/>
          <w:szCs w:val="21"/>
          <w:highlight w:val="none"/>
          <w:u w:val="single"/>
        </w:rPr>
        <w:t xml:space="preserve">                                   </w:t>
      </w:r>
    </w:p>
    <w:p w14:paraId="7F034F18">
      <w:pPr>
        <w:pStyle w:val="2"/>
        <w:rPr>
          <w:rFonts w:ascii="宋体" w:hAnsi="宋体" w:cs="宋体"/>
          <w:b w:val="0"/>
          <w:bCs/>
          <w:color w:val="auto"/>
          <w:highlight w:val="none"/>
        </w:rPr>
      </w:pPr>
    </w:p>
    <w:p w14:paraId="7F034F19">
      <w:pPr>
        <w:tabs>
          <w:tab w:val="left" w:pos="4200"/>
          <w:tab w:val="left" w:pos="4620"/>
        </w:tabs>
        <w:autoSpaceDE w:val="0"/>
        <w:autoSpaceDN w:val="0"/>
        <w:adjustRightInd w:val="0"/>
        <w:snapToGrid w:val="0"/>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投  标  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w:t>
      </w:r>
      <w:r>
        <w:rPr>
          <w:rFonts w:hint="eastAsia" w:ascii="宋体" w:hAnsi="宋体" w:cs="宋体"/>
          <w:b w:val="0"/>
          <w:bCs/>
          <w:color w:val="auto"/>
          <w:spacing w:val="-1"/>
          <w:kern w:val="0"/>
          <w:szCs w:val="21"/>
          <w:highlight w:val="none"/>
        </w:rPr>
        <w:t>盖单位法人章</w:t>
      </w:r>
      <w:r>
        <w:rPr>
          <w:rFonts w:hint="eastAsia" w:ascii="宋体" w:hAnsi="宋体" w:cs="宋体"/>
          <w:b w:val="0"/>
          <w:bCs/>
          <w:color w:val="auto"/>
          <w:kern w:val="0"/>
          <w:szCs w:val="21"/>
          <w:highlight w:val="none"/>
        </w:rPr>
        <w:t>）</w:t>
      </w:r>
    </w:p>
    <w:p w14:paraId="7F034F1A">
      <w:pPr>
        <w:tabs>
          <w:tab w:val="left" w:pos="6300"/>
        </w:tabs>
        <w:autoSpaceDE w:val="0"/>
        <w:autoSpaceDN w:val="0"/>
        <w:adjustRightInd w:val="0"/>
        <w:snapToGrid w:val="0"/>
        <w:spacing w:line="360" w:lineRule="auto"/>
        <w:ind w:firstLine="420" w:firstLineChars="200"/>
        <w:jc w:val="left"/>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法定代表人：</w:t>
      </w:r>
      <w:r>
        <w:rPr>
          <w:rFonts w:hint="eastAsia" w:ascii="宋体" w:hAnsi="宋体" w:cs="宋体"/>
          <w:b w:val="0"/>
          <w:bCs/>
          <w:color w:val="auto"/>
          <w:w w:val="200"/>
          <w:kern w:val="0"/>
          <w:szCs w:val="21"/>
          <w:highlight w:val="none"/>
          <w:u w:val="single"/>
        </w:rPr>
        <w:t xml:space="preserve">                           </w:t>
      </w:r>
      <w:r>
        <w:rPr>
          <w:rFonts w:hint="eastAsia" w:ascii="宋体" w:hAnsi="宋体" w:cs="宋体"/>
          <w:b w:val="0"/>
          <w:bCs/>
          <w:color w:val="auto"/>
          <w:kern w:val="0"/>
          <w:szCs w:val="21"/>
          <w:highlight w:val="none"/>
        </w:rPr>
        <w:t>（签名或盖章）</w:t>
      </w:r>
    </w:p>
    <w:p w14:paraId="7F034F1B">
      <w:pPr>
        <w:snapToGrid w:val="0"/>
        <w:spacing w:line="400" w:lineRule="exact"/>
        <w:ind w:firstLine="420" w:firstLineChars="200"/>
        <w:jc w:val="right"/>
        <w:rPr>
          <w:rFonts w:hint="eastAsia" w:ascii="宋体" w:hAnsi="宋体" w:cs="宋体"/>
          <w:b w:val="0"/>
          <w:bCs/>
          <w:color w:val="auto"/>
          <w:szCs w:val="21"/>
          <w:highlight w:val="none"/>
        </w:rPr>
      </w:pP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年</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月</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日</w:t>
      </w:r>
    </w:p>
    <w:p w14:paraId="7F034F1C">
      <w:pPr>
        <w:widowControl/>
        <w:jc w:val="left"/>
        <w:rPr>
          <w:rFonts w:ascii="宋体" w:hAnsi="宋体" w:cs="宋体"/>
          <w:b w:val="0"/>
          <w:bCs/>
          <w:color w:val="auto"/>
          <w:highlight w:val="none"/>
        </w:rPr>
      </w:pPr>
      <w:r>
        <w:rPr>
          <w:rFonts w:ascii="宋体" w:hAnsi="宋体" w:cs="宋体"/>
          <w:b w:val="0"/>
          <w:bCs/>
          <w:color w:val="auto"/>
          <w:highlight w:val="none"/>
        </w:rPr>
        <w:br w:type="page"/>
      </w:r>
    </w:p>
    <w:p w14:paraId="7F034F1D">
      <w:pPr>
        <w:rPr>
          <w:rFonts w:ascii="宋体" w:hAnsi="宋体" w:cs="宋体"/>
          <w:b w:val="0"/>
          <w:bCs/>
          <w:color w:val="auto"/>
          <w:highlight w:val="none"/>
        </w:rPr>
      </w:pPr>
    </w:p>
    <w:p w14:paraId="7F034F1E">
      <w:pPr>
        <w:pStyle w:val="5"/>
        <w:spacing w:before="0" w:line="360" w:lineRule="auto"/>
        <w:jc w:val="center"/>
        <w:rPr>
          <w:rFonts w:hint="eastAsia" w:ascii="宋体" w:hAnsi="宋体" w:cs="宋体"/>
          <w:b w:val="0"/>
          <w:bCs/>
          <w:color w:val="auto"/>
          <w:highlight w:val="none"/>
        </w:rPr>
      </w:pPr>
      <w:bookmarkStart w:id="1046" w:name="_Toc20791"/>
      <w:r>
        <w:rPr>
          <w:rFonts w:hint="eastAsia" w:ascii="宋体" w:hAnsi="宋体" w:cs="宋体"/>
          <w:b w:val="0"/>
          <w:bCs/>
          <w:color w:val="auto"/>
          <w:highlight w:val="none"/>
        </w:rPr>
        <w:t>（四）其他资料</w:t>
      </w:r>
      <w:bookmarkEnd w:id="1046"/>
    </w:p>
    <w:bookmarkEnd w:id="613"/>
    <w:bookmarkEnd w:id="614"/>
    <w:bookmarkEnd w:id="615"/>
    <w:p w14:paraId="7F034F1F">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 投标保证金</w:t>
      </w:r>
    </w:p>
    <w:p w14:paraId="7F034F20">
      <w:pPr>
        <w:spacing w:line="360" w:lineRule="auto"/>
        <w:ind w:firstLine="420" w:firstLineChars="200"/>
        <w:rPr>
          <w:rFonts w:hint="eastAsia" w:ascii="宋体" w:hAnsi="宋体" w:cs="宋体"/>
          <w:b w:val="0"/>
          <w:bCs/>
          <w:iCs/>
          <w:color w:val="auto"/>
          <w:szCs w:val="21"/>
          <w:highlight w:val="none"/>
        </w:rPr>
      </w:pPr>
      <w:r>
        <w:rPr>
          <w:rFonts w:hint="eastAsia" w:ascii="宋体" w:hAnsi="宋体" w:cs="宋体"/>
          <w:b w:val="0"/>
          <w:bCs/>
          <w:iCs/>
          <w:color w:val="auto"/>
          <w:szCs w:val="21"/>
          <w:highlight w:val="none"/>
        </w:rPr>
        <w:t>（注：以转账支票或电汇形式交纳投标保证金的提供以下资料）</w:t>
      </w:r>
    </w:p>
    <w:p w14:paraId="7F034F21">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（1）企业基本账户开户证明文件。</w:t>
      </w:r>
    </w:p>
    <w:p w14:paraId="7F034F22">
      <w:pPr>
        <w:rPr>
          <w:rFonts w:hint="eastAsia" w:ascii="宋体" w:hAnsi="宋体" w:cs="宋体"/>
          <w:b w:val="0"/>
          <w:bCs/>
          <w:i/>
          <w:color w:val="auto"/>
          <w:szCs w:val="21"/>
          <w:highlight w:val="none"/>
        </w:rPr>
      </w:pPr>
      <w:r>
        <w:rPr>
          <w:rFonts w:hint="eastAsia" w:ascii="宋体" w:hAnsi="宋体" w:cs="宋体"/>
          <w:b w:val="0"/>
          <w:bCs/>
          <w:i/>
          <w:color w:val="auto"/>
          <w:szCs w:val="21"/>
          <w:highlight w:val="none"/>
        </w:rPr>
        <w:br w:type="page"/>
      </w:r>
    </w:p>
    <w:p w14:paraId="7F034F23">
      <w:pPr>
        <w:spacing w:line="360" w:lineRule="auto"/>
        <w:ind w:firstLine="420" w:firstLineChars="200"/>
        <w:rPr>
          <w:rFonts w:hint="eastAsia" w:ascii="宋体" w:hAnsi="宋体" w:cs="宋体"/>
          <w:b w:val="0"/>
          <w:bCs/>
          <w:iCs/>
          <w:color w:val="auto"/>
          <w:szCs w:val="21"/>
          <w:highlight w:val="none"/>
        </w:rPr>
      </w:pPr>
      <w:r>
        <w:rPr>
          <w:rFonts w:hint="eastAsia" w:ascii="宋体" w:hAnsi="宋体" w:cs="宋体"/>
          <w:b w:val="0"/>
          <w:bCs/>
          <w:iCs/>
          <w:color w:val="auto"/>
          <w:szCs w:val="21"/>
          <w:highlight w:val="none"/>
        </w:rPr>
        <w:t>（注：以纸质投标保函形式交纳投标保证金的提供以下资料）</w:t>
      </w:r>
    </w:p>
    <w:p w14:paraId="7F034F24">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（1）纸质投标保函（如有）</w:t>
      </w:r>
    </w:p>
    <w:p w14:paraId="7F034F25">
      <w:pPr>
        <w:spacing w:line="360" w:lineRule="auto"/>
        <w:jc w:val="center"/>
        <w:rPr>
          <w:rFonts w:hint="eastAsia" w:ascii="宋体" w:hAnsi="宋体" w:cs="宋体"/>
          <w:b w:val="0"/>
          <w:bCs/>
          <w:color w:val="auto"/>
          <w:szCs w:val="21"/>
          <w:highlight w:val="none"/>
        </w:rPr>
      </w:pPr>
      <w:r>
        <w:rPr>
          <w:rFonts w:hint="eastAsia" w:ascii="宋体" w:hAnsi="宋体" w:cs="宋体"/>
          <w:b w:val="0"/>
          <w:bCs/>
          <w:color w:val="auto"/>
          <w:szCs w:val="21"/>
          <w:highlight w:val="none"/>
        </w:rPr>
        <w:t>投标保函示范文本</w:t>
      </w:r>
    </w:p>
    <w:p w14:paraId="7F034F26">
      <w:pPr>
        <w:spacing w:line="360" w:lineRule="auto"/>
        <w:ind w:firstLine="420" w:firstLineChars="200"/>
        <w:rPr>
          <w:rFonts w:hint="eastAsia" w:ascii="宋体" w:hAnsi="宋体" w:cs="宋体"/>
          <w:b w:val="0"/>
          <w:bCs/>
          <w:color w:val="auto"/>
          <w:szCs w:val="21"/>
          <w:highlight w:val="none"/>
        </w:rPr>
      </w:pPr>
    </w:p>
    <w:p w14:paraId="7F034F27">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申请人：</w:t>
      </w:r>
    </w:p>
    <w:p w14:paraId="7F034F28">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地  址：</w:t>
      </w:r>
    </w:p>
    <w:p w14:paraId="7F034F29">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受益人：</w:t>
      </w:r>
    </w:p>
    <w:p w14:paraId="7F034F2A">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地  址：</w:t>
      </w:r>
    </w:p>
    <w:p w14:paraId="7F034F2B">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开立人：</w:t>
      </w:r>
    </w:p>
    <w:p w14:paraId="7F034F2C">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地  址：</w:t>
      </w:r>
    </w:p>
    <w:p w14:paraId="7F034F2D">
      <w:pPr>
        <w:overflowPunct w:val="0"/>
        <w:spacing w:line="360" w:lineRule="auto"/>
        <w:rPr>
          <w:rFonts w:hint="eastAsia" w:ascii="宋体" w:hAnsi="宋体" w:cs="宋体"/>
          <w:b w:val="0"/>
          <w:bCs/>
          <w:color w:val="auto"/>
          <w:szCs w:val="21"/>
          <w:highlight w:val="none"/>
          <w:u w:val="single"/>
        </w:rPr>
      </w:pPr>
    </w:p>
    <w:p w14:paraId="7F034F2E">
      <w:pPr>
        <w:overflowPunct w:val="0"/>
        <w:spacing w:line="360" w:lineRule="auto"/>
        <w:rPr>
          <w:rFonts w:hint="eastAsia" w:ascii="宋体" w:hAnsi="宋体" w:cs="宋体"/>
          <w:b w:val="0"/>
          <w:bCs/>
          <w:color w:val="auto"/>
          <w:szCs w:val="21"/>
          <w:highlight w:val="none"/>
        </w:rPr>
      </w:pP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（受益人名称）：</w:t>
      </w:r>
    </w:p>
    <w:p w14:paraId="7F034F2F">
      <w:pPr>
        <w:overflowPunct w:val="0"/>
        <w:spacing w:line="360" w:lineRule="auto"/>
        <w:ind w:firstLine="396" w:firstLineChars="200"/>
        <w:rPr>
          <w:rFonts w:hint="eastAsia" w:ascii="宋体" w:hAnsi="宋体" w:cs="宋体"/>
          <w:b w:val="0"/>
          <w:bCs/>
          <w:color w:val="auto"/>
          <w:spacing w:val="-6"/>
          <w:kern w:val="0"/>
          <w:szCs w:val="21"/>
          <w:highlight w:val="none"/>
        </w:rPr>
      </w:pPr>
      <w:r>
        <w:rPr>
          <w:rFonts w:hint="eastAsia" w:ascii="宋体" w:hAnsi="宋体" w:cs="宋体"/>
          <w:b w:val="0"/>
          <w:bCs/>
          <w:color w:val="auto"/>
          <w:spacing w:val="-6"/>
          <w:kern w:val="0"/>
          <w:szCs w:val="21"/>
          <w:highlight w:val="none"/>
        </w:rPr>
        <w:t>我方（即“开立人”）已获得通知，本保函申请人（即“投标人”）已响应贵方于</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日</w:t>
      </w:r>
      <w:r>
        <w:rPr>
          <w:rFonts w:hint="eastAsia" w:ascii="宋体" w:hAnsi="宋体" w:cs="宋体"/>
          <w:b w:val="0"/>
          <w:bCs/>
          <w:color w:val="auto"/>
          <w:spacing w:val="-6"/>
          <w:kern w:val="0"/>
          <w:szCs w:val="21"/>
          <w:highlight w:val="none"/>
        </w:rPr>
        <w:t>就</w:t>
      </w:r>
      <w:r>
        <w:rPr>
          <w:rFonts w:hint="eastAsia" w:ascii="宋体" w:hAnsi="宋体" w:cs="宋体"/>
          <w:b w:val="0"/>
          <w:bCs/>
          <w:color w:val="auto"/>
          <w:spacing w:val="-6"/>
          <w:kern w:val="0"/>
          <w:szCs w:val="21"/>
          <w:highlight w:val="none"/>
          <w:u w:val="single"/>
        </w:rPr>
        <w:t xml:space="preserve">                   </w:t>
      </w:r>
      <w:r>
        <w:rPr>
          <w:rFonts w:hint="eastAsia" w:ascii="宋体" w:hAnsi="宋体" w:cs="宋体"/>
          <w:b w:val="0"/>
          <w:bCs/>
          <w:color w:val="auto"/>
          <w:spacing w:val="-6"/>
          <w:kern w:val="0"/>
          <w:szCs w:val="21"/>
          <w:highlight w:val="none"/>
        </w:rPr>
        <w:t>（以下简称“本项目”）发出的招标文件以及后续发布的答疑补遗文件，并拟向招标人（即“受益人”）提交投标文件（即“基础交易”）。</w:t>
      </w:r>
    </w:p>
    <w:p w14:paraId="7F034F30">
      <w:pPr>
        <w:overflowPunct w:val="0"/>
        <w:spacing w:line="360" w:lineRule="auto"/>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元（¥</w:t>
      </w:r>
      <w:r>
        <w:rPr>
          <w:rFonts w:hint="eastAsia" w:ascii="宋体" w:hAnsi="宋体" w:cs="宋体"/>
          <w:b w:val="0"/>
          <w:bCs/>
          <w:color w:val="auto"/>
          <w:kern w:val="0"/>
          <w:szCs w:val="21"/>
          <w:highlight w:val="none"/>
          <w:u w:val="single"/>
        </w:rPr>
        <w:t xml:space="preserve">        </w:t>
      </w:r>
      <w:r>
        <w:rPr>
          <w:rFonts w:hint="eastAsia" w:ascii="宋体" w:hAnsi="宋体" w:cs="宋体"/>
          <w:b w:val="0"/>
          <w:bCs/>
          <w:color w:val="auto"/>
          <w:kern w:val="0"/>
          <w:szCs w:val="21"/>
          <w:highlight w:val="none"/>
        </w:rPr>
        <w:t>）。</w:t>
      </w:r>
    </w:p>
    <w:p w14:paraId="7F034F31">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二、我方在投标人发生以下情形时承担保证担保责任：</w:t>
      </w:r>
    </w:p>
    <w:p w14:paraId="7F034F32">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（1）投标人在开标后至投标有效期满之前撤销投标的； </w:t>
      </w:r>
    </w:p>
    <w:p w14:paraId="7F034F33">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（2）投标人在收到中标通知后，不能或拒绝在中标通知书规定的时间内与贵方签订合同； </w:t>
      </w:r>
    </w:p>
    <w:p w14:paraId="7F034F34">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（3）投标人在与贵方签订合同前，未在规定的时间内提交符合招标文件要求的履约担保；</w:t>
      </w:r>
    </w:p>
    <w:p w14:paraId="7F034F35">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（4）投标人违反招标文件规定的其他情形。</w:t>
      </w:r>
    </w:p>
    <w:p w14:paraId="7F034F36">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三、本保函为不可撤销、不可转让的见索即付保函。本保函有效期自开立之日起至投标有效期届满之日后的</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日止（提示：建议30日）。投标有效期延长的，本保函有效期相应顺延，最迟不超过</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年</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月</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日（提示：建议按保函有效期不超过270日考虑）。</w:t>
      </w:r>
    </w:p>
    <w:p w14:paraId="7F034F37">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四、我方承诺，在收到受益人发来的书面索赔通知后的</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个工作日（提示：建议10—15个工作日）内无条件支付，前述书面索赔通知即为付款要求之单据，且应满足以下要求：</w:t>
      </w:r>
    </w:p>
    <w:p w14:paraId="7F034F38">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（1）索赔通知到达的日期在本保函的有效期内；</w:t>
      </w:r>
    </w:p>
    <w:p w14:paraId="7F034F39">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（2）载明要求支付的金额；</w:t>
      </w:r>
    </w:p>
    <w:p w14:paraId="7F034F3A">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（3）载明申请人违反招投标文件规定的义务内容和具体条款；</w:t>
      </w:r>
    </w:p>
    <w:p w14:paraId="7F034F3B">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（4）声明不存在招标文件规定免除申请人或我方支付责任的情形；</w:t>
      </w:r>
    </w:p>
    <w:p w14:paraId="7F034F3C">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（5）索赔通知应在本保函有效期内到达的地址是：</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F3D">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受益人发出的书面索赔通知应由其为鉴明受益人法定代表人或授权代理人签名并加盖公章。</w:t>
      </w:r>
    </w:p>
    <w:p w14:paraId="7F034F3E">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五、本保函项下的权利不得转让，不得设定担保。贵方未经我方书面同意转让本保函或其项下任何权利，对我方不发生法律效力。</w:t>
      </w:r>
    </w:p>
    <w:p w14:paraId="7F034F3F">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六、本保函项下的基础交易不成立、不生效、无效、被撤销、被解除，不影响本保函的独立有效。 </w:t>
      </w:r>
    </w:p>
    <w:p w14:paraId="7F034F40">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七、受益人应在本保函到期后的七个工作日内将本保函正本退回我方注销，但是不论受益人是否按此要求将本保函正本退回我方，我方在本保函项下的义务和责任均在保函有效期到期后自动消灭。</w:t>
      </w:r>
    </w:p>
    <w:p w14:paraId="7F034F41">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八、本保函的开具是我方真实意思表示，符合法律法规规定，我方同意遵守本保函约定并无条件承担担保责任。本保函与其他规定或条款不一致时，以本保函约定为准。</w:t>
      </w:r>
    </w:p>
    <w:p w14:paraId="7F034F42">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九、本保函适用的法律为中华人民共和国法律，争议裁判管辖地为中华人民共和国</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p>
    <w:p w14:paraId="7F034F43">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十、本保函自我方法定代表人或授权代表签名并加盖公章之日起生效。</w:t>
      </w:r>
    </w:p>
    <w:p w14:paraId="7F034F44">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十一、本保函在重庆市辖区范围内的核验地点：</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；核验方式：</w:t>
      </w:r>
      <w:r>
        <w:rPr>
          <w:rFonts w:hint="eastAsia" w:ascii="宋体" w:hAnsi="宋体" w:cs="宋体"/>
          <w:b w:val="0"/>
          <w:bCs/>
          <w:color w:val="auto"/>
          <w:szCs w:val="21"/>
          <w:highlight w:val="none"/>
          <w:u w:val="single"/>
        </w:rPr>
        <w:t xml:space="preserve">        </w:t>
      </w:r>
      <w:r>
        <w:rPr>
          <w:rFonts w:hint="eastAsia" w:ascii="宋体" w:hAnsi="宋体" w:cs="宋体"/>
          <w:b w:val="0"/>
          <w:bCs/>
          <w:i/>
          <w:iCs/>
          <w:color w:val="auto"/>
          <w:szCs w:val="21"/>
          <w:highlight w:val="none"/>
          <w:u w:val="single"/>
        </w:rPr>
        <w:t>[提示：招标人可以根据项目实际情况，填写本保函在重庆本地的核验方式，如现场核验等]</w:t>
      </w:r>
      <w:r>
        <w:rPr>
          <w:rFonts w:hint="eastAsia" w:ascii="宋体" w:hAnsi="宋体" w:cs="宋体"/>
          <w:b w:val="0"/>
          <w:bCs/>
          <w:color w:val="auto"/>
          <w:szCs w:val="21"/>
          <w:highlight w:val="none"/>
        </w:rPr>
        <w:t>。</w:t>
      </w:r>
    </w:p>
    <w:p w14:paraId="7F034F45">
      <w:pPr>
        <w:spacing w:line="360" w:lineRule="auto"/>
        <w:ind w:firstLine="420" w:firstLineChars="200"/>
        <w:rPr>
          <w:rFonts w:hint="eastAsia" w:ascii="宋体" w:hAnsi="宋体" w:cs="宋体"/>
          <w:b w:val="0"/>
          <w:bCs/>
          <w:color w:val="auto"/>
          <w:szCs w:val="21"/>
          <w:highlight w:val="none"/>
        </w:rPr>
      </w:pPr>
    </w:p>
    <w:p w14:paraId="7F034F46">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开 立 人： </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（公章）</w:t>
      </w:r>
    </w:p>
    <w:p w14:paraId="7F034F47">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法定代表人（或授权代表）：</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（签名）</w:t>
      </w:r>
    </w:p>
    <w:p w14:paraId="7F034F48">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地    址：</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 </w:t>
      </w:r>
    </w:p>
    <w:p w14:paraId="7F034F49">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邮政编码：</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 </w:t>
      </w:r>
    </w:p>
    <w:p w14:paraId="7F034F4A">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电    话：</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 </w:t>
      </w:r>
    </w:p>
    <w:p w14:paraId="7F034F4B">
      <w:pPr>
        <w:overflowPunct w:val="0"/>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传    真：</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 xml:space="preserve"> </w:t>
      </w:r>
    </w:p>
    <w:p w14:paraId="7F034F4C">
      <w:pPr>
        <w:spacing w:line="360" w:lineRule="auto"/>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开立时间：    年    月    日</w:t>
      </w:r>
      <w:r>
        <w:rPr>
          <w:rFonts w:hint="eastAsia" w:ascii="宋体" w:hAnsi="宋体" w:cs="宋体"/>
          <w:b w:val="0"/>
          <w:bCs/>
          <w:color w:val="auto"/>
          <w:szCs w:val="21"/>
          <w:highlight w:val="none"/>
        </w:rPr>
        <w:br w:type="page"/>
      </w:r>
      <w:r>
        <w:rPr>
          <w:rFonts w:hint="eastAsia" w:ascii="宋体" w:hAnsi="宋体" w:cs="宋体"/>
          <w:b w:val="0"/>
          <w:bCs/>
          <w:color w:val="auto"/>
          <w:szCs w:val="21"/>
          <w:highlight w:val="none"/>
        </w:rPr>
        <w:t xml:space="preserve">2. </w:t>
      </w:r>
      <w:r>
        <w:rPr>
          <w:rFonts w:hint="eastAsia" w:ascii="宋体" w:hAnsi="宋体" w:cs="宋体"/>
          <w:b w:val="0"/>
          <w:bCs/>
          <w:color w:val="auto"/>
          <w:highlight w:val="none"/>
        </w:rPr>
        <w:t>按照招标文件第二章投标人须知前附表第1.4.1项、第3.4款要求提供的资料。</w:t>
      </w:r>
    </w:p>
    <w:p w14:paraId="7F034F4D">
      <w:pPr>
        <w:spacing w:line="360" w:lineRule="auto"/>
        <w:ind w:firstLine="420" w:firstLineChars="200"/>
        <w:rPr>
          <w:rFonts w:ascii="宋体" w:hAnsi="宋体" w:cs="宋体"/>
          <w:b w:val="0"/>
          <w:bCs/>
          <w:color w:val="auto"/>
          <w:highlight w:val="none"/>
        </w:rPr>
      </w:pPr>
      <w:r>
        <w:rPr>
          <w:rFonts w:hint="eastAsia" w:ascii="宋体" w:hAnsi="宋体" w:cs="宋体"/>
          <w:b w:val="0"/>
          <w:bCs/>
          <w:color w:val="auto"/>
          <w:szCs w:val="21"/>
          <w:highlight w:val="none"/>
        </w:rPr>
        <w:t>……</w:t>
      </w:r>
    </w:p>
    <w:p w14:paraId="7F034F4E">
      <w:pPr>
        <w:spacing w:line="360" w:lineRule="auto"/>
        <w:rPr>
          <w:rFonts w:ascii="宋体" w:hAnsi="宋体" w:cs="宋体"/>
          <w:b w:val="0"/>
          <w:bCs/>
          <w:color w:val="auto"/>
          <w:highlight w:val="none"/>
        </w:rPr>
      </w:pPr>
    </w:p>
    <w:p w14:paraId="7F034F4F">
      <w:pPr>
        <w:pStyle w:val="2"/>
        <w:rPr>
          <w:rFonts w:ascii="宋体" w:hAnsi="宋体" w:cs="宋体"/>
          <w:b w:val="0"/>
          <w:bCs/>
          <w:color w:val="auto"/>
          <w:highlight w:val="none"/>
        </w:rPr>
      </w:pPr>
    </w:p>
    <w:p w14:paraId="7F034F50">
      <w:pPr>
        <w:rPr>
          <w:rFonts w:ascii="宋体" w:hAnsi="宋体" w:cs="宋体"/>
          <w:b w:val="0"/>
          <w:bCs/>
          <w:color w:val="auto"/>
          <w:highlight w:val="none"/>
        </w:rPr>
      </w:pPr>
    </w:p>
    <w:p w14:paraId="7F034F51">
      <w:pPr>
        <w:pStyle w:val="2"/>
        <w:rPr>
          <w:rFonts w:ascii="宋体" w:hAnsi="宋体" w:cs="宋体"/>
          <w:b w:val="0"/>
          <w:bCs/>
          <w:color w:val="auto"/>
          <w:highlight w:val="none"/>
        </w:rPr>
      </w:pPr>
    </w:p>
    <w:p w14:paraId="7F034F52">
      <w:pPr>
        <w:rPr>
          <w:rFonts w:ascii="宋体" w:hAnsi="宋体" w:cs="宋体"/>
          <w:b w:val="0"/>
          <w:bCs/>
          <w:color w:val="auto"/>
          <w:highlight w:val="none"/>
        </w:rPr>
      </w:pPr>
    </w:p>
    <w:p w14:paraId="7F034F53">
      <w:pPr>
        <w:pStyle w:val="2"/>
        <w:rPr>
          <w:rFonts w:ascii="宋体" w:hAnsi="宋体" w:cs="宋体"/>
          <w:b w:val="0"/>
          <w:bCs/>
          <w:color w:val="auto"/>
          <w:highlight w:val="none"/>
        </w:rPr>
      </w:pPr>
    </w:p>
    <w:p w14:paraId="7F034F54">
      <w:pPr>
        <w:rPr>
          <w:rFonts w:ascii="宋体" w:hAnsi="宋体" w:cs="宋体"/>
          <w:b w:val="0"/>
          <w:bCs/>
          <w:color w:val="auto"/>
          <w:highlight w:val="none"/>
        </w:rPr>
      </w:pPr>
    </w:p>
    <w:p w14:paraId="7F034F55">
      <w:pPr>
        <w:pStyle w:val="2"/>
        <w:rPr>
          <w:rFonts w:ascii="宋体" w:hAnsi="宋体" w:cs="宋体"/>
          <w:b w:val="0"/>
          <w:bCs/>
          <w:color w:val="auto"/>
          <w:highlight w:val="none"/>
        </w:rPr>
      </w:pPr>
    </w:p>
    <w:p w14:paraId="7F034F56">
      <w:pPr>
        <w:rPr>
          <w:rFonts w:ascii="宋体" w:hAnsi="宋体" w:cs="宋体"/>
          <w:b w:val="0"/>
          <w:bCs/>
          <w:color w:val="auto"/>
          <w:highlight w:val="none"/>
        </w:rPr>
      </w:pPr>
    </w:p>
    <w:p w14:paraId="7F034F57">
      <w:pPr>
        <w:pStyle w:val="2"/>
        <w:rPr>
          <w:rFonts w:ascii="宋体" w:hAnsi="宋体" w:cs="宋体"/>
          <w:b w:val="0"/>
          <w:bCs/>
          <w:color w:val="auto"/>
          <w:highlight w:val="none"/>
        </w:rPr>
      </w:pPr>
    </w:p>
    <w:p w14:paraId="7F034F58">
      <w:pPr>
        <w:rPr>
          <w:rFonts w:ascii="宋体" w:hAnsi="宋体" w:cs="宋体"/>
          <w:b w:val="0"/>
          <w:bCs/>
          <w:color w:val="auto"/>
          <w:highlight w:val="none"/>
        </w:rPr>
      </w:pPr>
    </w:p>
    <w:p w14:paraId="7F034F59">
      <w:pPr>
        <w:pStyle w:val="2"/>
        <w:rPr>
          <w:rFonts w:ascii="宋体" w:hAnsi="宋体" w:cs="宋体"/>
          <w:b w:val="0"/>
          <w:bCs/>
          <w:color w:val="auto"/>
          <w:highlight w:val="none"/>
        </w:rPr>
      </w:pPr>
    </w:p>
    <w:p w14:paraId="7F034F5A">
      <w:pPr>
        <w:rPr>
          <w:rFonts w:ascii="宋体" w:hAnsi="宋体" w:cs="宋体"/>
          <w:b w:val="0"/>
          <w:bCs/>
          <w:color w:val="auto"/>
          <w:highlight w:val="none"/>
        </w:rPr>
      </w:pPr>
    </w:p>
    <w:p w14:paraId="7F034F5B">
      <w:pPr>
        <w:pStyle w:val="2"/>
        <w:rPr>
          <w:rFonts w:ascii="宋体" w:hAnsi="宋体" w:cs="宋体"/>
          <w:b w:val="0"/>
          <w:bCs/>
          <w:color w:val="auto"/>
          <w:highlight w:val="none"/>
        </w:rPr>
      </w:pPr>
    </w:p>
    <w:p w14:paraId="7F034F5C">
      <w:pPr>
        <w:rPr>
          <w:rFonts w:ascii="宋体" w:hAnsi="宋体" w:cs="宋体"/>
          <w:b w:val="0"/>
          <w:bCs/>
          <w:color w:val="auto"/>
          <w:highlight w:val="none"/>
        </w:rPr>
      </w:pPr>
    </w:p>
    <w:p w14:paraId="7F034F5D">
      <w:pPr>
        <w:pStyle w:val="2"/>
        <w:rPr>
          <w:rFonts w:ascii="宋体" w:hAnsi="宋体" w:cs="宋体"/>
          <w:b w:val="0"/>
          <w:bCs/>
          <w:color w:val="auto"/>
          <w:highlight w:val="none"/>
        </w:rPr>
      </w:pPr>
    </w:p>
    <w:p w14:paraId="7F034F5E">
      <w:pPr>
        <w:rPr>
          <w:rFonts w:ascii="宋体" w:hAnsi="宋体" w:cs="宋体"/>
          <w:b w:val="0"/>
          <w:bCs/>
          <w:color w:val="auto"/>
          <w:highlight w:val="none"/>
        </w:rPr>
      </w:pPr>
    </w:p>
    <w:p w14:paraId="7F034F5F">
      <w:pPr>
        <w:pStyle w:val="2"/>
        <w:rPr>
          <w:rFonts w:ascii="宋体" w:hAnsi="宋体" w:cs="宋体"/>
          <w:b w:val="0"/>
          <w:bCs/>
          <w:color w:val="auto"/>
          <w:highlight w:val="none"/>
        </w:rPr>
      </w:pPr>
    </w:p>
    <w:p w14:paraId="7F034F60">
      <w:pPr>
        <w:rPr>
          <w:rFonts w:ascii="宋体" w:hAnsi="宋体" w:cs="宋体"/>
          <w:b w:val="0"/>
          <w:bCs/>
          <w:color w:val="auto"/>
          <w:highlight w:val="none"/>
        </w:rPr>
      </w:pPr>
    </w:p>
    <w:p w14:paraId="7F034F61">
      <w:pPr>
        <w:pStyle w:val="2"/>
        <w:rPr>
          <w:rFonts w:ascii="宋体" w:hAnsi="宋体" w:cs="宋体"/>
          <w:b w:val="0"/>
          <w:bCs/>
          <w:color w:val="auto"/>
          <w:highlight w:val="none"/>
        </w:rPr>
      </w:pPr>
    </w:p>
    <w:p w14:paraId="7F034F62">
      <w:pPr>
        <w:rPr>
          <w:rFonts w:ascii="宋体" w:hAnsi="宋体" w:cs="宋体"/>
          <w:b w:val="0"/>
          <w:bCs/>
          <w:color w:val="auto"/>
          <w:highlight w:val="none"/>
        </w:rPr>
      </w:pPr>
    </w:p>
    <w:p w14:paraId="7F034F63">
      <w:pPr>
        <w:pStyle w:val="2"/>
        <w:rPr>
          <w:rFonts w:ascii="宋体" w:hAnsi="宋体" w:cs="宋体"/>
          <w:b w:val="0"/>
          <w:bCs/>
          <w:color w:val="auto"/>
          <w:highlight w:val="none"/>
        </w:rPr>
      </w:pPr>
    </w:p>
    <w:p w14:paraId="7F034F64">
      <w:pPr>
        <w:rPr>
          <w:rFonts w:ascii="宋体" w:hAnsi="宋体" w:cs="宋体"/>
          <w:b w:val="0"/>
          <w:bCs/>
          <w:color w:val="auto"/>
          <w:highlight w:val="none"/>
        </w:rPr>
      </w:pPr>
    </w:p>
    <w:p w14:paraId="7F034F65">
      <w:pPr>
        <w:pStyle w:val="2"/>
        <w:rPr>
          <w:rFonts w:ascii="宋体" w:hAnsi="宋体" w:cs="宋体"/>
          <w:b w:val="0"/>
          <w:bCs/>
          <w:color w:val="auto"/>
          <w:highlight w:val="none"/>
        </w:rPr>
      </w:pPr>
    </w:p>
    <w:p w14:paraId="7F034F66">
      <w:pPr>
        <w:rPr>
          <w:rFonts w:ascii="宋体" w:hAnsi="宋体" w:cs="宋体"/>
          <w:b w:val="0"/>
          <w:bCs/>
          <w:color w:val="auto"/>
          <w:highlight w:val="none"/>
        </w:rPr>
      </w:pPr>
    </w:p>
    <w:p w14:paraId="7F034F67">
      <w:pPr>
        <w:pStyle w:val="2"/>
        <w:rPr>
          <w:rFonts w:ascii="宋体" w:hAnsi="宋体" w:cs="宋体"/>
          <w:b w:val="0"/>
          <w:bCs/>
          <w:color w:val="auto"/>
          <w:highlight w:val="none"/>
        </w:rPr>
      </w:pPr>
    </w:p>
    <w:p w14:paraId="7F034F68">
      <w:pPr>
        <w:rPr>
          <w:rFonts w:ascii="宋体" w:hAnsi="宋体" w:cs="宋体"/>
          <w:b w:val="0"/>
          <w:bCs/>
          <w:color w:val="auto"/>
          <w:highlight w:val="none"/>
        </w:rPr>
      </w:pPr>
    </w:p>
    <w:p w14:paraId="7F034F69">
      <w:pPr>
        <w:pStyle w:val="2"/>
        <w:rPr>
          <w:rFonts w:ascii="宋体" w:hAnsi="宋体" w:cs="宋体"/>
          <w:b w:val="0"/>
          <w:bCs/>
          <w:color w:val="auto"/>
          <w:highlight w:val="none"/>
        </w:rPr>
      </w:pPr>
    </w:p>
    <w:p w14:paraId="7F034F6A">
      <w:pPr>
        <w:rPr>
          <w:rFonts w:ascii="宋体" w:hAnsi="宋体" w:cs="宋体"/>
          <w:b w:val="0"/>
          <w:bCs/>
          <w:color w:val="auto"/>
          <w:highlight w:val="none"/>
        </w:rPr>
      </w:pPr>
    </w:p>
    <w:p w14:paraId="7F034F6B">
      <w:pPr>
        <w:pStyle w:val="2"/>
        <w:rPr>
          <w:rFonts w:ascii="宋体" w:hAnsi="宋体" w:cs="宋体"/>
          <w:b w:val="0"/>
          <w:bCs/>
          <w:color w:val="auto"/>
          <w:highlight w:val="none"/>
        </w:rPr>
      </w:pPr>
    </w:p>
    <w:p w14:paraId="7F034F6C">
      <w:pPr>
        <w:rPr>
          <w:rFonts w:ascii="宋体" w:hAnsi="宋体" w:cs="宋体"/>
          <w:b w:val="0"/>
          <w:bCs/>
          <w:color w:val="auto"/>
          <w:highlight w:val="none"/>
        </w:rPr>
      </w:pPr>
    </w:p>
    <w:p w14:paraId="7F034F6D">
      <w:pPr>
        <w:pStyle w:val="2"/>
        <w:rPr>
          <w:rFonts w:ascii="宋体" w:hAnsi="宋体" w:cs="宋体"/>
          <w:b w:val="0"/>
          <w:bCs/>
          <w:color w:val="auto"/>
          <w:highlight w:val="none"/>
        </w:rPr>
      </w:pPr>
    </w:p>
    <w:p w14:paraId="7F034F6E">
      <w:pPr>
        <w:rPr>
          <w:rFonts w:ascii="宋体" w:hAnsi="宋体" w:cs="宋体"/>
          <w:b w:val="0"/>
          <w:bCs/>
          <w:color w:val="auto"/>
          <w:highlight w:val="none"/>
        </w:rPr>
      </w:pPr>
    </w:p>
    <w:p w14:paraId="7F034F6F">
      <w:pPr>
        <w:pStyle w:val="2"/>
        <w:rPr>
          <w:rFonts w:ascii="宋体" w:hAnsi="宋体" w:cs="宋体"/>
          <w:b w:val="0"/>
          <w:bCs/>
          <w:color w:val="auto"/>
          <w:highlight w:val="none"/>
        </w:rPr>
      </w:pPr>
    </w:p>
    <w:p w14:paraId="7F034F70">
      <w:pPr>
        <w:rPr>
          <w:rFonts w:ascii="宋体" w:hAnsi="宋体" w:cs="宋体"/>
          <w:b w:val="0"/>
          <w:bCs/>
          <w:color w:val="auto"/>
          <w:highlight w:val="none"/>
        </w:rPr>
      </w:pPr>
    </w:p>
    <w:p w14:paraId="7F034F71">
      <w:pPr>
        <w:rPr>
          <w:rFonts w:hint="eastAsia" w:ascii="宋体" w:hAnsi="宋体" w:cs="宋体"/>
          <w:b w:val="0"/>
          <w:bCs/>
          <w:color w:val="auto"/>
          <w:highlight w:val="none"/>
        </w:rPr>
        <w:sectPr>
          <w:pgSz w:w="11906" w:h="16838"/>
          <w:pgMar w:top="1304" w:right="1134" w:bottom="1304" w:left="1304" w:header="851" w:footer="992" w:gutter="0"/>
          <w:cols w:space="720" w:num="1"/>
          <w:docGrid w:type="lines" w:linePitch="312" w:charSpace="0"/>
        </w:sectPr>
      </w:pPr>
    </w:p>
    <w:p w14:paraId="7F034F72">
      <w:pPr>
        <w:rPr>
          <w:rFonts w:hint="eastAsia" w:ascii="宋体" w:hAnsi="宋体" w:cs="宋体"/>
          <w:b w:val="0"/>
          <w:bCs/>
          <w:color w:val="auto"/>
          <w:highlight w:val="none"/>
        </w:rPr>
      </w:pPr>
      <w:r>
        <w:rPr>
          <w:rFonts w:ascii="宋体" w:hAnsi="宋体" w:cs="宋体"/>
          <w:b w:val="0"/>
          <w:bCs/>
          <w:color w:val="auto"/>
          <w:highlight w:val="none"/>
        </w:rPr>
        <mc:AlternateContent>
          <mc:Choice Requires="wps">
            <w:drawing>
              <wp:anchor distT="0" distB="0" distL="114300" distR="114300" simplePos="0" relativeHeight="251668480" behindDoc="0" locked="0" layoutInCell="1" allowOverlap="1">
                <wp:simplePos x="0" y="0"/>
                <wp:positionH relativeFrom="character">
                  <wp:posOffset>1805940</wp:posOffset>
                </wp:positionH>
                <wp:positionV relativeFrom="line">
                  <wp:posOffset>1351280</wp:posOffset>
                </wp:positionV>
                <wp:extent cx="2134235" cy="792480"/>
                <wp:effectExtent l="0" t="0" r="0" b="0"/>
                <wp:wrapNone/>
                <wp:docPr id="115" name="矩形 111"/>
                <wp:cNvGraphicFramePr/>
                <a:graphic xmlns:a="http://schemas.openxmlformats.org/drawingml/2006/main">
                  <a:graphicData uri="http://schemas.microsoft.com/office/word/2010/wordprocessingShape">
                    <wps:wsp>
                      <wps:cNvSpPr/>
                      <wps:spPr>
                        <a:xfrm>
                          <a:off x="3558540" y="2671445"/>
                          <a:ext cx="2134235" cy="792480"/>
                        </a:xfrm>
                        <a:prstGeom prst="rect">
                          <a:avLst/>
                        </a:prstGeom>
                        <a:noFill/>
                        <a:ln w="9525">
                          <a:noFill/>
                        </a:ln>
                        <a:effectLst/>
                      </wps:spPr>
                      <wps:txbx>
                        <w:txbxContent>
                          <w:p w14:paraId="7F034FDF">
                            <w:pPr>
                              <w:jc w:val="center"/>
                              <w:rPr>
                                <w:rFonts w:hint="eastAsia" w:ascii="仿宋" w:hAnsi="仿宋" w:eastAsia="仿宋" w:cs="仿宋"/>
                                <w:sz w:val="84"/>
                                <w:szCs w:val="84"/>
                              </w:rPr>
                            </w:pPr>
                            <w:r>
                              <w:rPr>
                                <w:rFonts w:hint="eastAsia" w:ascii="仿宋" w:hAnsi="仿宋" w:eastAsia="仿宋" w:cs="仿宋"/>
                                <w:color w:val="000000"/>
                                <w:sz w:val="84"/>
                                <w:szCs w:val="84"/>
                              </w:rPr>
                              <w:t>供货方案</w:t>
                            </w:r>
                          </w:p>
                        </w:txbxContent>
                      </wps:txbx>
                      <wps:bodyPr wrap="none" lIns="0" tIns="0" rIns="0" bIns="0" upright="1">
                        <a:spAutoFit/>
                      </wps:bodyPr>
                    </wps:wsp>
                  </a:graphicData>
                </a:graphic>
              </wp:anchor>
            </w:drawing>
          </mc:Choice>
          <mc:Fallback>
            <w:pict>
              <v:rect id="矩形 111" o:spid="_x0000_s1026" o:spt="1" style="position:absolute;left:0pt;margin-left:142.2pt;margin-top:106.4pt;height:62.4pt;width:168.05pt;mso-position-horizontal-relative:char;mso-position-vertical-relative:line;mso-wrap-style:none;z-index:251668480;mso-width-relative:page;mso-height-relative:page;" filled="f" stroked="f" coordsize="21600,21600" o:gfxdata="UEsDBAoAAAAAAIdO4kAAAAAAAAAAAAAAAAAEAAAAZHJzL1BLAwQUAAAACACHTuJAeXx1ctgAAAAL&#10;AQAADwAAAGRycy9kb3ducmV2LnhtbE2Py07DMBBF90j8gzVI7Kgdt4QoxOkCqRJFbJryAW48eQg/&#10;othtyt93WMFuRnN059xqe3WWXXCOY/AKspUAhr4NZvS9gq/j7qkAFpP2RtvgUcEPRtjW93eVLk1Y&#10;/AEvTeoZhfhYagVDSlPJeWwHdDquwoSebl2YnU60zj03s14o3Fkuhci506OnD4Oe8G3A9rs5OwX8&#10;2OyWorGzCB+y+7T790OHQanHh0y8Akt4TX8w/OqTOtTkdApnbyKzCmSx2RBKQyapAxG5FM/ATgrW&#10;65cceF3x/x3qG1BLAwQUAAAACACHTuJA5MuF8+QBAACyAwAADgAAAGRycy9lMm9Eb2MueG1srVNL&#10;btswEN0X6B0I7mtZspQ4gumggJGiQNAGSHIAmqIsAvyBpC35NAWy6yF6nKLX6JCSnSDZZJENNaMZ&#10;vpn3Zri6HpREB+68MJrgfDbHiGtmGqF3BD8+3HxZYuQD1Q2VRnOCj9zj6/XnT6ve1rwwnZENdwhA&#10;tK97S3AXgq2zzLOOK+pnxnINwdY4RQO4bpc1jvaArmRWzOcXWW9cY51h3Hv4uxmDeEJ07wE0bSsY&#10;3xi2V1yHEdVxSQNQ8p2wHq9Tt23LWfjZtp4HJAkGpiGdUATsbTyz9YrWO0dtJ9jUAn1PC684KSo0&#10;FD1DbWigaO/EGyglmDPetGHGjMpGIkkRYJHPX2lz31HLExeQ2tuz6P7jYNmPw51DooFNyCuMNFUw&#10;8n+/fv/984TyPI/69NbXkHZv79zkeTAj2aF1Kn6BBhoIXlTVsipB2SPBxcVlXpbVqC8fAmKQUOSL&#10;slhAGQYZl1dFuUwDyJ6RrPPhGzcKRYNgB/NLstLDrQ9QHVJPKbGwNjdCyjRDqVFP8FVVVOnCOQI3&#10;pI65PG3DBBM5jSyiFYbtMFHbmuYIgvSwEQRreAAYye8aBI/LczLcydiejL11YtdBx3mq7u3XfYDe&#10;UsuxwggL/UcHRpmYTGsXd+Wln7Ken9r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l8dXLYAAAA&#10;CwEAAA8AAAAAAAAAAQAgAAAAIgAAAGRycy9kb3ducmV2LnhtbFBLAQIUABQAAAAIAIdO4kDky4Xz&#10;5AEAALIDAAAOAAAAAAAAAAEAIAAAACcBAABkcnMvZTJvRG9jLnhtbFBLBQYAAAAABgAGAFkBAAB9&#10;BQAAAAA=&#10;">
                <v:fill on="f" focussize="0,0"/>
                <v:stroke on="f"/>
                <v:imagedata o:title=""/>
                <o:lock v:ext="edit" aspectratio="f"/>
                <v:textbox inset="0mm,0mm,0mm,0mm" style="mso-fit-shape-to-text:t;">
                  <w:txbxContent>
                    <w:p w14:paraId="7F034FDF">
                      <w:pPr>
                        <w:jc w:val="center"/>
                        <w:rPr>
                          <w:rFonts w:hint="eastAsia" w:ascii="仿宋" w:hAnsi="仿宋" w:eastAsia="仿宋" w:cs="仿宋"/>
                          <w:sz w:val="84"/>
                          <w:szCs w:val="84"/>
                        </w:rPr>
                      </w:pPr>
                      <w:r>
                        <w:rPr>
                          <w:rFonts w:hint="eastAsia" w:ascii="仿宋" w:hAnsi="仿宋" w:eastAsia="仿宋" w:cs="仿宋"/>
                          <w:color w:val="000000"/>
                          <w:sz w:val="84"/>
                          <w:szCs w:val="84"/>
                        </w:rPr>
                        <w:t>供货方案</w:t>
                      </w:r>
                    </w:p>
                  </w:txbxContent>
                </v:textbox>
              </v:rect>
            </w:pict>
          </mc:Fallback>
        </mc:AlternateContent>
      </w:r>
      <w:r>
        <w:rPr>
          <w:rFonts w:ascii="宋体" w:hAnsi="宋体" w:cs="宋体"/>
          <w:b w:val="0"/>
          <w:bCs/>
          <w:color w:val="auto"/>
          <w:highlight w:val="none"/>
        </w:rPr>
        <mc:AlternateContent>
          <mc:Choice Requires="wps">
            <w:drawing>
              <wp:anchor distT="0" distB="0" distL="114300" distR="114300" simplePos="0" relativeHeight="251672576" behindDoc="0" locked="0" layoutInCell="1" allowOverlap="1">
                <wp:simplePos x="0" y="0"/>
                <wp:positionH relativeFrom="character">
                  <wp:posOffset>3884295</wp:posOffset>
                </wp:positionH>
                <wp:positionV relativeFrom="line">
                  <wp:posOffset>9352915</wp:posOffset>
                </wp:positionV>
                <wp:extent cx="419735" cy="198120"/>
                <wp:effectExtent l="0" t="0" r="0" b="0"/>
                <wp:wrapNone/>
                <wp:docPr id="116"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14:paraId="7F034FE0">
                            <w:pPr>
                              <w:rPr>
                                <w:sz w:val="20"/>
                              </w:rPr>
                            </w:pPr>
                            <w:r>
                              <w:rPr>
                                <w:rFonts w:hint="eastAsia" w:ascii="宋体" w:cs="宋体"/>
                                <w:bCs/>
                                <w:color w:val="000000"/>
                                <w:sz w:val="22"/>
                              </w:rPr>
                              <w:t>密封线</w:t>
                            </w:r>
                          </w:p>
                        </w:txbxContent>
                      </wps:txbx>
                      <wps:bodyPr wrap="none" lIns="0" tIns="0" rIns="0" bIns="0" upright="1">
                        <a:spAutoFit/>
                      </wps:bodyPr>
                    </wps:wsp>
                  </a:graphicData>
                </a:graphic>
              </wp:anchor>
            </w:drawing>
          </mc:Choice>
          <mc:Fallback>
            <w:pict>
              <v:rect id="矩形 114" o:spid="_x0000_s1026" o:spt="1" style="position:absolute;left:0pt;margin-left:305.85pt;margin-top:736.45pt;height:15.6pt;width:33.05pt;mso-position-horizontal-relative:char;mso-position-vertical-relative:line;mso-wrap-style:none;rotation:-2883584f;z-index:251672576;mso-width-relative:page;mso-height-relative:page;" filled="f" stroked="f" coordsize="21600,21600" o:gfxdata="UEsDBAoAAAAAAIdO4kAAAAAAAAAAAAAAAAAEAAAAZHJzL1BLAwQUAAAACACHTuJA1hgYZNkAAAAN&#10;AQAADwAAAGRycy9kb3ducmV2LnhtbE2PQU+EMBCF7yb+h2ZMvLltV4RdpGyiiYleTEC8d+kIRNoS&#10;WnbRX+940uO89+XNe8VhtSM74RwG7xTIjQCGrvVmcJ2C5u3pZgcsRO2MHr1DBV8Y4FBeXhQ6N/7s&#10;KjzVsWMU4kKuFfQxTjnnoe3R6rDxEzryPvxsdaRz7riZ9ZnC7ci3QqTc6sHRh15P+Nhj+1kvVsFL&#10;WzXY3Cbv9lvEdXxeqtc6PCh1fSXFPbCIa/yD4bc+VYeSOh394kxgo4JUyoxQMpJsuwdGSJpltOZI&#10;0p1IJPCy4P9XlD9QSwMEFAAAAAgAh07iQF7svvbuAQAAwAMAAA4AAABkcnMvZTJvRG9jLnhtbK1T&#10;TYrbMBTeF3oHof3EluskkxBlKIQphdIOTHsARZZjgf6QlNg5TaG7HqLHKb1Gn2QnLTObWYwX4sl6&#10;+t73fe9pczdohU7CB2kNxWRWYiQMt400B4q/fb2/ucUoRGYapqwRFJ9FwHfbt282vVuLynZWNcIj&#10;ADFh3TuKuxjduigC74RmYWadMHDYWq9ZhK0/FI1nPaBrVVRluSh66xvnLRchwN/deIgnRP8SQNu2&#10;koud5UctTBxRvVAsgqTQSRfwNrNtW8Hjl7YNIiJFMSiNeYUiEO/TWmw3bH3wzHWSTxTYSyg80aSZ&#10;NFD0CrVjkaGjl8+gtOTeBtvGGbe6GIVkR0AFKZ9489gxJ7IWsDq4q+nh9WD559ODR7KBSSALjAzT&#10;0PI/33/+/vUDEVInf3oX1pD26B78tAsQJrFD6zXyFky9qRZ1CV/2AFShgeJFXc+rORh9pnhZ1fWS&#10;zEe7xRARh4SarJbv5hhxSCCrW1LldhQjbsJ3PsQPwmqUAoo9dDMXYKdPIQIXSL2kpHRj76VSuaPK&#10;oJ7iFdTPF64ncEOZlCvybEwwSeGoKUVx2A+T0L1tzmBPD/NBsYHngJH6aMD+NEqXwF+C/SU4Oi8P&#10;HTAmuXpw748RuGXKqcIIC/zTBhqblUxDmCbn/33O+vfwt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hgYZNkAAAANAQAADwAAAAAAAAABACAAAAAiAAAAZHJzL2Rvd25yZXYueG1sUEsBAhQAFAAA&#10;AAgAh07iQF7svvbuAQAAwAMAAA4AAAAAAAAAAQAgAAAAKAEAAGRycy9lMm9Eb2MueG1sUEsFBgAA&#10;AAAGAAYAWQEAAIgFAAAAAA==&#10;">
                <v:fill on="f" focussize="0,0"/>
                <v:stroke on="f"/>
                <v:imagedata o:title=""/>
                <o:lock v:ext="edit" aspectratio="f"/>
                <v:textbox inset="0mm,0mm,0mm,0mm" style="mso-fit-shape-to-text:t;">
                  <w:txbxContent>
                    <w:p w14:paraId="7F034FE0">
                      <w:pPr>
                        <w:rPr>
                          <w:sz w:val="20"/>
                        </w:rPr>
                      </w:pPr>
                      <w:r>
                        <w:rPr>
                          <w:rFonts w:hint="eastAsia" w:ascii="宋体" w:cs="宋体"/>
                          <w:bCs/>
                          <w:color w:val="000000"/>
                          <w:sz w:val="22"/>
                        </w:rPr>
                        <w:t>密封线</w:t>
                      </w:r>
                    </w:p>
                  </w:txbxContent>
                </v:textbox>
              </v:rect>
            </w:pict>
          </mc:Fallback>
        </mc:AlternateContent>
      </w:r>
      <w:r>
        <w:rPr>
          <w:rFonts w:ascii="宋体" w:hAnsi="宋体" w:cs="宋体"/>
          <w:b w:val="0"/>
          <w:bCs/>
          <w:color w:val="auto"/>
          <w:highlight w:val="none"/>
        </w:rPr>
        <mc:AlternateContent>
          <mc:Choice Requires="wps">
            <w:drawing>
              <wp:anchor distT="0" distB="0" distL="114300" distR="114300" simplePos="0" relativeHeight="251670528" behindDoc="0" locked="0" layoutInCell="1" allowOverlap="1">
                <wp:simplePos x="0" y="0"/>
                <wp:positionH relativeFrom="character">
                  <wp:posOffset>3669030</wp:posOffset>
                </wp:positionH>
                <wp:positionV relativeFrom="line">
                  <wp:posOffset>6773545</wp:posOffset>
                </wp:positionV>
                <wp:extent cx="3175" cy="3128010"/>
                <wp:effectExtent l="4445" t="0" r="7620" b="11430"/>
                <wp:wrapNone/>
                <wp:docPr id="117" name="直线 132"/>
                <wp:cNvGraphicFramePr/>
                <a:graphic xmlns:a="http://schemas.openxmlformats.org/drawingml/2006/main">
                  <a:graphicData uri="http://schemas.microsoft.com/office/word/2010/wordprocessingShape">
                    <wps:wsp>
                      <wps:cNvCnPr/>
                      <wps:spPr>
                        <a:xfrm flipH="1" flipV="1">
                          <a:off x="0" y="0"/>
                          <a:ext cx="3175" cy="3128010"/>
                        </a:xfrm>
                        <a:prstGeom prst="line">
                          <a:avLst/>
                        </a:prstGeom>
                        <a:ln w="9525" cap="flat" cmpd="sng">
                          <a:solidFill>
                            <a:srgbClr val="000000"/>
                          </a:solidFill>
                          <a:prstDash val="dash"/>
                          <a:miter/>
                          <a:headEnd type="none" w="med" len="med"/>
                          <a:tailEnd type="none" w="med" len="med"/>
                        </a:ln>
                        <a:effectLst/>
                      </wps:spPr>
                      <wps:bodyPr/>
                    </wps:wsp>
                  </a:graphicData>
                </a:graphic>
              </wp:anchor>
            </w:drawing>
          </mc:Choice>
          <mc:Fallback>
            <w:pict>
              <v:line id="直线 132" o:spid="_x0000_s1026" o:spt="20" style="position:absolute;left:0pt;flip:x y;margin-left:288.9pt;margin-top:533.35pt;height:246.3pt;width:0.25pt;mso-position-horizontal-relative:char;mso-position-vertical-relative:line;z-index:251670528;mso-width-relative:page;mso-height-relative:page;" filled="f" stroked="t" coordsize="21600,21600" o:gfxdata="UEsDBAoAAAAAAIdO4kAAAAAAAAAAAAAAAAAEAAAAZHJzL1BLAwQUAAAACACHTuJAYfL+xdwAAAAN&#10;AQAADwAAAGRycy9kb3ducmV2LnhtbE2PzU7DMBCE70i8g7VI3KhdqsRtiNMDqKoQEhItEhzdeHEi&#10;4h/FblPenuVEj7Mzmvm2Xp/dwE44pj54BfOZAIa+Dab3VsH7fnO3BJay9kYPwaOCH0ywbq6val2Z&#10;MPk3PO2yZVTiU6UVdDnHivPUduh0moWInryvMDqdSY6Wm1FPVO4Gfi9EyZ3uPS10OuJjh+337ugU&#10;PJfTXtq4iU+vL3kVhd5+ftitUrc3c/EALOM5/4fhD5/QoSGmQzh6k9igoJCS0DMZoiwlMIoUcrkA&#10;dqBTUawWwJuaX37R/AJQSwMEFAAAAAgAh07iQL25TPL6AQAAAQQAAA4AAABkcnMvZTJvRG9jLnht&#10;bK1TO47bMBDtA+QOBPtYlo3NbgTLW6yzSREkBvLpxyRlEeAPJNeyz5JrpEqT4+w1MkMpxmbTuIgK&#10;4ZEz8zjvcbi6PVrDDiom7V3L69mcM+WEl9rtW/71y/2rG85SBifBeKdaflKJ365fvlgNoVEL33sj&#10;VWRI4lIzhJb3OYemqpLolYU080E5DHY+Wsi4jPtKRhiQ3ZpqMZ+/rgYfZYheqJRwdzMG+cQYLyH0&#10;XaeF2njxYJXLI2tUBjJKSr0Oia9Lt12nRP7UdUllZlqOSnP54yGId/Sv1ito9hFCr8XUAlzSwjNN&#10;FrTDQ89UG8jAHqL+h8pqEX3yXZ4Jb6tRSHEEVdTzZ9587iGoogWtTuFsevp/tOLjYRuZljgJ9TVn&#10;Dixe+eP3H48/f7F6uSB/hpAaTLtz2zitUthGEnvsomWd0eE9lvOCvhGiGEpjx+Lz6eyzOmYmcHNZ&#10;X19xJjCwrBc3qJuOqUY+qg0x5XfKW0ag5UY7cgEaOHxIeUz9k0LbxrGh5W+uFkQKOJIdjgJCG1BW&#10;cvtSm7zR8l4bQxUp7nd3JrID0FiUb2rhrzQ6ZAOpH/MkIsqCxuqsyAtoegXyrZMsnwL65vDBcOrF&#10;KsmZUfi+CJXMDNpckok2GEfUqkzvJJjuYHSd0M7LU7mMilY4GcW9aYpp9J6uET99ue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fL+xdwAAAANAQAADwAAAAAAAAABACAAAAAiAAAAZHJzL2Rvd25y&#10;ZXYueG1sUEsBAhQAFAAAAAgAh07iQL25TPL6AQAAAQQAAA4AAAAAAAAAAQAgAAAAKwEAAGRycy9l&#10;Mm9Eb2MueG1sUEsFBgAAAAAGAAYAWQEAAJcFAAAAAA==&#10;">
                <v:fill on="f" focussize="0,0"/>
                <v:stroke color="#000000" joinstyle="miter" dashstyle="dash"/>
                <v:imagedata o:title=""/>
                <o:lock v:ext="edit" aspectratio="f"/>
              </v:line>
            </w:pict>
          </mc:Fallback>
        </mc:AlternateContent>
      </w:r>
      <w:r>
        <w:rPr>
          <w:rFonts w:ascii="宋体" w:hAnsi="宋体" w:cs="宋体"/>
          <w:b w:val="0"/>
          <w:bCs/>
          <w:color w:val="auto"/>
          <w:highlight w:val="none"/>
        </w:rPr>
        <mc:AlternateContent>
          <mc:Choice Requires="wps">
            <w:drawing>
              <wp:anchor distT="0" distB="0" distL="114300" distR="114300" simplePos="0" relativeHeight="251665408" behindDoc="0" locked="0" layoutInCell="1" allowOverlap="1">
                <wp:simplePos x="0" y="0"/>
                <wp:positionH relativeFrom="character">
                  <wp:posOffset>3685540</wp:posOffset>
                </wp:positionH>
                <wp:positionV relativeFrom="line">
                  <wp:posOffset>6776720</wp:posOffset>
                </wp:positionV>
                <wp:extent cx="3077210" cy="4445"/>
                <wp:effectExtent l="0" t="0" r="0" b="0"/>
                <wp:wrapNone/>
                <wp:docPr id="119" name="直接连接符 112"/>
                <wp:cNvGraphicFramePr/>
                <a:graphic xmlns:a="http://schemas.openxmlformats.org/drawingml/2006/main">
                  <a:graphicData uri="http://schemas.microsoft.com/office/word/2010/wordprocessingShape">
                    <wps:wsp>
                      <wps:cNvCnPr/>
                      <wps:spPr>
                        <a:xfrm flipV="1">
                          <a:off x="0" y="0"/>
                          <a:ext cx="3077210" cy="4445"/>
                        </a:xfrm>
                        <a:prstGeom prst="straightConnector1">
                          <a:avLst/>
                        </a:prstGeom>
                        <a:ln w="9525" cap="flat" cmpd="sng">
                          <a:solidFill>
                            <a:srgbClr val="000000"/>
                          </a:solidFill>
                          <a:prstDash val="dash"/>
                          <a:miter/>
                          <a:headEnd type="none" w="med" len="med"/>
                          <a:tailEnd type="none" w="med" len="med"/>
                        </a:ln>
                        <a:effectLst/>
                      </wps:spPr>
                      <wps:bodyPr/>
                    </wps:wsp>
                  </a:graphicData>
                </a:graphic>
              </wp:anchor>
            </w:drawing>
          </mc:Choice>
          <mc:Fallback>
            <w:pict>
              <v:shape id="直接连接符 112" o:spid="_x0000_s1026" o:spt="32" type="#_x0000_t32" style="position:absolute;left:0pt;flip:y;margin-left:290.2pt;margin-top:533.6pt;height:0.35pt;width:242.3pt;mso-position-horizontal-relative:char;mso-position-vertical-relative:line;z-index:251665408;mso-width-relative:page;mso-height-relative:page;" filled="f" stroked="t" coordsize="21600,21600" o:gfxdata="UEsDBAoAAAAAAIdO4kAAAAAAAAAAAAAAAAAEAAAAZHJzL1BLAwQUAAAACACHTuJAu99OtdoAAAAO&#10;AQAADwAAAGRycy9kb3ducmV2LnhtbE2PzU7DMBCE70i8g7VI3Kjdqg0hxKkEggviQBsEVzfexlHj&#10;dYjdH96erTjAcWc+zc6Uy5PvxQHH2AXSMJ0oEEhNsB21Gt7r55scREyGrOkDoYZvjLCsLi9KU9hw&#10;pBUe1qkVHEKxMBpcSkMhZWwcehMnYUBibxtGbxKfYyvtaI4c7ns5UyqT3nTEH5wZ8NFhs1vvvQb1&#10;Ge22fn2TH1/zF/ewSk95HXZaX19N1T2IhKf0B8O5PleHijttwp5sFL2GRa7mjLKhstsZiDOisgXv&#10;2/xqdyCrUv6fUf0AUEsDBBQAAAAIAIdO4kAyzyiBDQIAAA4EAAAOAAAAZHJzL2Uyb0RvYy54bWyt&#10;U82O0zAQviPxDpbvNE1pWTZquoeW5YKgEj9313YSS/6Tx9u0L8ELIHGDE0fuvA27j7FjJ1TLcumB&#10;HKyZeOab+b4ZL68ORpO9DKCcrWk5mVIiLXdC2bamHz9cP3tJCURmBdPOypoeJdCr1dMny95XcuY6&#10;p4UMBEEsVL2vaRejr4oCeCcNg4nz0uJl44JhEd3QFiKwHtGNLmbT6Yuid0H44LgEwL+b4ZKOiOEc&#10;QNc0isuN4zdG2jigBqlZRErQKQ90lbttGsnju6YBGYmuKTKN+cQiaO/SWayWrGoD853iYwvsnBYe&#10;cTJMWSx6gtqwyMhNUP9AGcWDA9fECXemGIhkRZBFOX2kzfuOeZm5oNTgT6LD/4Plb/fbQJTATSgv&#10;KbHM4Mhvv/z8/fnb3a+veN7++E7KcpaE6j1UGL+22zB64LchsT40wZBGK/8JcbIOyIwcsszHk8zy&#10;EAnHn8+nFxezEifA8W4+ny8SeDGgJDQfIL6WzpBk1BRiYKrt4tpZi/N0YajA9m8gDol/ElKytqSv&#10;6eVitkB8hvvZ4F6gaTxyBNvm7sBpJa6V1ikDQrtb60D2LO1I/saG/gpLRTYMuiFOoJWiWGVUlEkP&#10;VnWSiVdWkHj0KKLF10NTL0YKSrTEx5asHBmZ0udEoijaJmiZV3kknOYwKJ+snRPHPJAiebgmWctx&#10;pdMePvTRfviMV/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30612gAAAA4BAAAPAAAAAAAAAAEA&#10;IAAAACIAAABkcnMvZG93bnJldi54bWxQSwECFAAUAAAACACHTuJAMs8ogQ0CAAAOBAAADgAAAAAA&#10;AAABACAAAAApAQAAZHJzL2Uyb0RvYy54bWxQSwUGAAAAAAYABgBZAQAAqAUAAAAA&#10;">
                <v:fill on="f" focussize="0,0"/>
                <v:stroke color="#000000" joinstyle="miter" dashstyle="dash"/>
                <v:imagedata o:title=""/>
                <o:lock v:ext="edit" aspectratio="f"/>
              </v:shape>
            </w:pict>
          </mc:Fallback>
        </mc:AlternateContent>
      </w:r>
      <w:r>
        <w:rPr>
          <w:rFonts w:ascii="宋体" w:hAnsi="宋体" w:cs="宋体"/>
          <w:b w:val="0"/>
          <w:bCs/>
          <w:color w:val="auto"/>
          <w:highlight w:val="none"/>
        </w:rPr>
        <mc:AlternateContent>
          <mc:Choice Requires="wps">
            <w:drawing>
              <wp:anchor distT="0" distB="0" distL="114300" distR="114300" simplePos="0" relativeHeight="251669504" behindDoc="0" locked="0" layoutInCell="1" allowOverlap="1">
                <wp:simplePos x="0" y="0"/>
                <wp:positionH relativeFrom="character">
                  <wp:posOffset>3690620</wp:posOffset>
                </wp:positionH>
                <wp:positionV relativeFrom="line">
                  <wp:posOffset>6783070</wp:posOffset>
                </wp:positionV>
                <wp:extent cx="3057525" cy="3085465"/>
                <wp:effectExtent l="3175" t="0" r="17780" b="5080"/>
                <wp:wrapNone/>
                <wp:docPr id="120" name="直线 134"/>
                <wp:cNvGraphicFramePr/>
                <a:graphic xmlns:a="http://schemas.openxmlformats.org/drawingml/2006/main">
                  <a:graphicData uri="http://schemas.microsoft.com/office/word/2010/wordprocessingShape">
                    <wps:wsp>
                      <wps:cNvCnPr/>
                      <wps:spPr>
                        <a:xfrm flipV="1">
                          <a:off x="0" y="0"/>
                          <a:ext cx="3057525" cy="3085465"/>
                        </a:xfrm>
                        <a:prstGeom prst="line">
                          <a:avLst/>
                        </a:prstGeom>
                        <a:ln w="9525" cap="flat" cmpd="sng">
                          <a:solidFill>
                            <a:srgbClr val="000000"/>
                          </a:solidFill>
                          <a:prstDash val="dashDot"/>
                          <a:miter/>
                          <a:headEnd type="none" w="med" len="med"/>
                          <a:tailEnd type="none" w="med" len="med"/>
                        </a:ln>
                        <a:effectLst/>
                      </wps:spPr>
                      <wps:bodyPr/>
                    </wps:wsp>
                  </a:graphicData>
                </a:graphic>
              </wp:anchor>
            </w:drawing>
          </mc:Choice>
          <mc:Fallback>
            <w:pict>
              <v:line id="直线 134" o:spid="_x0000_s1026" o:spt="20" style="position:absolute;left:0pt;flip:y;margin-left:290.6pt;margin-top:534.1pt;height:242.95pt;width:240.75pt;mso-position-horizontal-relative:char;mso-position-vertical-relative:line;z-index:251669504;mso-width-relative:page;mso-height-relative:page;" filled="f" stroked="t" coordsize="21600,21600" o:gfxdata="UEsDBAoAAAAAAIdO4kAAAAAAAAAAAAAAAAAEAAAAZHJzL1BLAwQUAAAACACHTuJAgkUeydoAAAAO&#10;AQAADwAAAGRycy9kb3ducmV2LnhtbE2PwU7DMBBE70j8g7VI3KidiKRRiFMJBBXi1kI5u/E2jojt&#10;yHabwtezPcFtVvM0O9OsznZkJwxx8E5CthDA0HVeD66X8PH+clcBi0k5rUbvUMI3Rli111eNqrWf&#10;3QZP29QzCnGxVhJMSlPNeewMWhUXfkJH3sEHqxKdoec6qJnC7chzIUpu1eDog1ETPhnsvrZHK2F+&#10;FP1hvZ52zzv9GpafxSZ/+zFS3t5k4gFYwnP6g+FSn6pDS532/uh0ZKOEospyQskQZUXqgogyXwLb&#10;kyqK+wx42/D/M9pfUEsDBBQAAAAIAIdO4kBIdzZM+QEAAP0DAAAOAAAAZHJzL2Uyb0RvYy54bWyt&#10;U8tuEzEU3SPxD5b3ZCZJU8ooky4aygZBpAL7Gz9mLPkl280k38JvsGLD5/Q3uPYMUSmbLJiFdW0f&#10;H99z5nh9ezSaHESIytmWzmc1JcIyx5XtWvr1y/2bG0piAstBOytaehKR3m5ev1oPvhEL1zvNRSBI&#10;YmMz+Jb2KfmmqiLrhYE4c15Y3JQuGEg4DV3FAwzIbnS1qOvranCB++CYiBFXt+MmnRjDJYROSsXE&#10;1rFHI2waWYPQkFBS7JWPdFO6lVKw9FnKKBLRLUWlqYx4Cdb7PFabNTRdAN8rNrUAl7TwQpMBZfHS&#10;M9UWEpDHoP6hMooFF51MM+ZMNQopjqCKef3Cm4cevCha0Oroz6bH/0fLPh12gSiOSVigJxYM/vKn&#10;7z+efv4i8+VV9mfwsUHYnd2FaRb9LmSxRxkMkVr5b3i8yEdB5FjcPZ3dFcdEGC4u69Xb1WJFCcO9&#10;ZX2zurpeZf5qJMqEPsT0QThDctFSrWyWDw0cPsY0Qv9A8rK2ZGjpu5EUMIsSM4D8xqOeaLtyNjqt&#10;+L3SOp+Iodvf6UAOkPNQvqmFv2D5ki3EfsRxrLYuZSA0RiWRfYCmF8DfW07SyaNnFh8Lze0YwSnR&#10;At9WrgoygdKXINEJbTO1KMmdNGf/R8dztXf8VH5ElWeYimLglOAcu+dzrJ+/2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kUeydoAAAAOAQAADwAAAAAAAAABACAAAAAiAAAAZHJzL2Rvd25yZXYu&#10;eG1sUEsBAhQAFAAAAAgAh07iQEh3Nkz5AQAA/QMAAA4AAAAAAAAAAQAgAAAAKQEAAGRycy9lMm9E&#10;b2MueG1sUEsFBgAAAAAGAAYAWQEAAJQFAAAAAA==&#10;">
                <v:fill on="f" focussize="0,0"/>
                <v:stroke color="#000000" joinstyle="miter" dashstyle="dashDot"/>
                <v:imagedata o:title=""/>
                <o:lock v:ext="edit" aspectratio="f"/>
              </v:line>
            </w:pict>
          </mc:Fallback>
        </mc:AlternateContent>
      </w:r>
      <w:r>
        <w:rPr>
          <w:rFonts w:ascii="宋体" w:hAnsi="宋体" w:cs="宋体"/>
          <w:b w:val="0"/>
          <w:bCs/>
          <w:color w:val="auto"/>
          <w:highlight w:val="none"/>
        </w:rPr>
        <mc:AlternateContent>
          <mc:Choice Requires="wps">
            <w:drawing>
              <wp:anchor distT="0" distB="0" distL="114300" distR="114300" simplePos="0" relativeHeight="251666432" behindDoc="0" locked="0" layoutInCell="1" allowOverlap="1">
                <wp:simplePos x="0" y="0"/>
                <wp:positionH relativeFrom="character">
                  <wp:posOffset>4256405</wp:posOffset>
                </wp:positionH>
                <wp:positionV relativeFrom="line">
                  <wp:posOffset>7359650</wp:posOffset>
                </wp:positionV>
                <wp:extent cx="1857375" cy="1856740"/>
                <wp:effectExtent l="5080" t="5080" r="12065" b="12700"/>
                <wp:wrapNone/>
                <wp:docPr id="121" name="椭圆 115"/>
                <wp:cNvGraphicFramePr/>
                <a:graphic xmlns:a="http://schemas.openxmlformats.org/drawingml/2006/main">
                  <a:graphicData uri="http://schemas.microsoft.com/office/word/2010/wordprocessingShape">
                    <wps:wsp>
                      <wps:cNvSpPr/>
                      <wps:spPr>
                        <a:xfrm>
                          <a:off x="0" y="0"/>
                          <a:ext cx="1857375" cy="1856740"/>
                        </a:xfrm>
                        <a:prstGeom prst="ellipse">
                          <a:avLst/>
                        </a:prstGeom>
                        <a:noFill/>
                        <a:ln w="9525" cap="flat" cmpd="sng">
                          <a:solidFill>
                            <a:srgbClr val="000000"/>
                          </a:solidFill>
                          <a:prstDash val="dashDot"/>
                          <a:miter/>
                          <a:headEnd type="none" w="med" len="med"/>
                          <a:tailEnd type="none" w="med" len="med"/>
                        </a:ln>
                        <a:effectLst/>
                      </wps:spPr>
                      <wps:txbx>
                        <w:txbxContent>
                          <w:p w14:paraId="7F034FE1"/>
                        </w:txbxContent>
                      </wps:txbx>
                      <wps:bodyPr wrap="square" upright="1"/>
                    </wps:wsp>
                  </a:graphicData>
                </a:graphic>
              </wp:anchor>
            </w:drawing>
          </mc:Choice>
          <mc:Fallback>
            <w:pict>
              <v:shape id="椭圆 115" o:spid="_x0000_s1026" o:spt="3" type="#_x0000_t3" style="position:absolute;left:0pt;margin-left:335.15pt;margin-top:579.5pt;height:146.2pt;width:146.25pt;mso-position-horizontal-relative:char;mso-position-vertical-relative:line;z-index:251666432;mso-width-relative:page;mso-height-relative:page;" filled="f" stroked="t" coordsize="21600,21600" o:gfxdata="UEsDBAoAAAAAAIdO4kAAAAAAAAAAAAAAAAAEAAAAZHJzL1BLAwQUAAAACACHTuJA+4TTgdoAAAAN&#10;AQAADwAAAGRycy9kb3ducmV2LnhtbE2PwU7DMBBE70j8g7VIXBB1kjYpTeNUAoTElbbi7MbbJKq9&#10;jmKnLX/PcqLHnXmanak2V2fFGcfQe1KQzhIQSI03PbUK9ruP5xcQIWoy2npCBT8YYFPf31W6NP5C&#10;X3jexlZwCIVSK+hiHEopQ9Oh02HmByT2jn50OvI5ttKM+sLhzsosSQrpdE/8odMDvnXYnLaTU2Dz&#10;ZZyKZm+f3rNXh7tvPz9mn0o9PqTJGkTEa/yH4a8+V4eaOx38RCYIq6BYJnNG2UjzFa9iZFVkvObA&#10;0iJPFyDrSt6uqH8BUEsDBBQAAAAIAIdO4kCRFjR1EgIAACYEAAAOAAAAZHJzL2Uyb0RvYy54bWyt&#10;U0uS0zAQ3VPFHVTaE8eBTAZXnFkQhg0FUzVwgI7VtlWlH5ISOxfgFCzZciw4x7TkEIZhkwVZOC2p&#10;9brf66f1zagVO6AP0pqal7M5Z2gaK6Tpav750+2La85CBCNAWYM1P2LgN5vnz9aDq3Bhe6sEekYg&#10;JlSDq3kfo6uKIjQ9aggz69DQYWu9hkhL3xXCw0DoWhWL+fyqGKwXztsGQ6Dd7XTIT4j+EkDbtrLB&#10;rW32Gk2cUD0qiEQp9NIFvsndti028WPbBoxM1ZyYxvylIhTv0rfYrKHqPLheNqcW4JIWnnDSIA0V&#10;PUNtIQLbe/kPlJaNt8G2cdZYXUxEsiLEopw/0ea+B4eZC0kd3Fn08P9gmw+HO8+kICcsSs4MaBr5&#10;r+8/fn77yspymfQZXKgo7d7d+dMqUJjIjq3X6Z9osDFrejxrimNkDW2W18vVy9WSs4bOaHG1epVV&#10;L/5cdz7Ed2g1S0HNUSkaYeINFRzeh0hVKft3Vto29lYqlWenDBtq/nq5SCWA/NiSDyjUjjgF02WY&#10;YJUU6Uq6HHy3e6M8O0DyRP4lmlTir7RUbwuhn/IERVsbJ79oGTFpAVWPIN4aweLRkW6GHgxP7WgU&#10;nCmk95WinBlBqksyqQ1lEjRm957opxlMqqcojruRQFO4s+JIAxzIwUT3yx48dbB3XnY9SVlmYimP&#10;7JMpnqye/Pl4TfHj5715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uE04HaAAAADQEAAA8AAAAA&#10;AAAAAQAgAAAAIgAAAGRycy9kb3ducmV2LnhtbFBLAQIUABQAAAAIAIdO4kCRFjR1EgIAACYEAAAO&#10;AAAAAAAAAAEAIAAAACkBAABkcnMvZTJvRG9jLnhtbFBLBQYAAAAABgAGAFkBAACtBQAAAAA=&#10;">
                <v:fill on="f" focussize="0,0"/>
                <v:stroke color="#000000" joinstyle="miter" dashstyle="dashDot"/>
                <v:imagedata o:title=""/>
                <o:lock v:ext="edit" aspectratio="f"/>
                <v:textbox>
                  <w:txbxContent>
                    <w:p w14:paraId="7F034FE1"/>
                  </w:txbxContent>
                </v:textbox>
              </v:shape>
            </w:pict>
          </mc:Fallback>
        </mc:AlternateContent>
      </w:r>
      <w:r>
        <w:rPr>
          <w:rFonts w:ascii="宋体" w:hAnsi="宋体" w:cs="宋体"/>
          <w:b w:val="0"/>
          <w:bCs/>
          <w:color w:val="auto"/>
          <w:highlight w:val="none"/>
        </w:rPr>
        <mc:AlternateContent>
          <mc:Choice Requires="wps">
            <w:drawing>
              <wp:anchor distT="0" distB="0" distL="114300" distR="114300" simplePos="0" relativeHeight="251671552" behindDoc="0" locked="0" layoutInCell="1" allowOverlap="1">
                <wp:simplePos x="0" y="0"/>
                <wp:positionH relativeFrom="character">
                  <wp:posOffset>6140450</wp:posOffset>
                </wp:positionH>
                <wp:positionV relativeFrom="line">
                  <wp:posOffset>7091045</wp:posOffset>
                </wp:positionV>
                <wp:extent cx="419735" cy="198120"/>
                <wp:effectExtent l="0" t="0" r="0" b="0"/>
                <wp:wrapNone/>
                <wp:docPr id="122" name="矩形 114"/>
                <wp:cNvGraphicFramePr/>
                <a:graphic xmlns:a="http://schemas.openxmlformats.org/drawingml/2006/main">
                  <a:graphicData uri="http://schemas.microsoft.com/office/word/2010/wordprocessingShape">
                    <wps:wsp>
                      <wps:cNvSpPr/>
                      <wps:spPr>
                        <a:xfrm rot="-2640000">
                          <a:off x="6445250" y="7244715"/>
                          <a:ext cx="419735" cy="198120"/>
                        </a:xfrm>
                        <a:prstGeom prst="rect">
                          <a:avLst/>
                        </a:prstGeom>
                        <a:noFill/>
                        <a:ln w="9525">
                          <a:noFill/>
                        </a:ln>
                        <a:effectLst/>
                      </wps:spPr>
                      <wps:txbx>
                        <w:txbxContent>
                          <w:p w14:paraId="7F034FE2">
                            <w:pPr>
                              <w:rPr>
                                <w:sz w:val="20"/>
                              </w:rPr>
                            </w:pPr>
                            <w:r>
                              <w:rPr>
                                <w:rFonts w:hint="eastAsia" w:ascii="宋体" w:cs="宋体"/>
                                <w:bCs/>
                                <w:color w:val="000000"/>
                                <w:sz w:val="22"/>
                              </w:rPr>
                              <w:t>密封线</w:t>
                            </w:r>
                          </w:p>
                        </w:txbxContent>
                      </wps:txbx>
                      <wps:bodyPr wrap="none" lIns="0" tIns="0" rIns="0" bIns="0" upright="1">
                        <a:spAutoFit/>
                      </wps:bodyPr>
                    </wps:wsp>
                  </a:graphicData>
                </a:graphic>
              </wp:anchor>
            </w:drawing>
          </mc:Choice>
          <mc:Fallback>
            <w:pict>
              <v:rect id="矩形 114" o:spid="_x0000_s1026" o:spt="1" style="position:absolute;left:0pt;margin-left:483.5pt;margin-top:558.35pt;height:15.6pt;width:33.05pt;mso-position-horizontal-relative:char;mso-position-vertical-relative:line;mso-wrap-style:none;rotation:-2883584f;z-index:251671552;mso-width-relative:page;mso-height-relative:page;" filled="f" stroked="f" coordsize="21600,21600" o:gfxdata="UEsDBAoAAAAAAIdO4kAAAAAAAAAAAAAAAAAEAAAAZHJzL1BLAwQUAAAACACHTuJAzt3wFdoAAAAO&#10;AQAADwAAAGRycy9kb3ducmV2LnhtbE2PzU7DMBCE70i8g7VI3KhtUiU0jVMJJCS4ICWEuxsvSVT/&#10;RLHTBp4e50SPOzOa/aY4LEaTM05+cFYA3zAgaFunBtsJaD5fH56A+CCtktpZFPCDHg7l7U0hc+Uu&#10;tsJzHToSS6zPpYA+hDGn1Lc9Guk3bkQbvW83GRniOXVUTfISy42mj4yl1MjBxg+9HPGlx/ZUz0bA&#10;e1s12CTbL/PLwqLf5uqj9s9C3N9xtgcScAn/YVjxIzqUkenoZqs80QJ2aRa3hGhwnmZA1ghLEg7k&#10;uGrbbAe0LOj1jPIPUEsDBBQAAAAIAIdO4kBLHPSs7QEAAMADAAAOAAAAZHJzL2Uyb0RvYy54bWyt&#10;U0tu2zAQ3RfoHQjuY30q27FhOShgpChQtAHSHoCmKIsAfxjSlnyaAt31ED1O0Wt0SMlukWyyiBbE&#10;UBy+ee/NcHM3aEVOAry0pqbFLKdEGG4baQ41/fb1/uaWEh+YaZiyRtT0LDy92759s+ndWpS2s6oR&#10;QBDE+HXvatqF4NZZ5nknNPMz64TBw9aCZgG3cMgaYD2ia5WVeb7IeguNA8uF9/h3Nx7SCRFeAmjb&#10;VnKxs/yohQkjKgjFAkrynXSebhPbthU8fGlbLwJRNUWlIa1YBON9XLPthq0PwFwn+USBvYTCE02a&#10;SYNFr1A7Fhg5gnwGpSUH620bZtzqbBSSHEEVRf7Em8eOOZG0oNXeXU33rwfLP58egMgGJ6EsKTFM&#10;Y8v/fP/5+9cPUhRV9Kd3fo1pj+4Bpp3HMIodWtAELJp6Uy6qHL/kAaoiQ00XVTUv52j0uabLsqqW&#10;xXy0WwyBcEyoitXy3ZwSjgnF6rYoUzuyETfiO/Dhg7CaxKCmgN1MBdjpkw/IBVMvKTHd2HupVOqo&#10;MqSv6QrrpwvXE7yhTMwVaTYmmKhw1BSjMOyHSejeNme0p8f5qKnB50CJ+mjQ/jhKlwAuwf4SHB3I&#10;Q4eMi1Tdu/fHgNwS5VhhhEX+cYONTUqmIYyT8/8+Zf17eN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t3wFdoAAAAOAQAADwAAAAAAAAABACAAAAAiAAAAZHJzL2Rvd25yZXYueG1sUEsBAhQAFAAA&#10;AAgAh07iQEsc9KztAQAAwAMAAA4AAAAAAAAAAQAgAAAAKQEAAGRycy9lMm9Eb2MueG1sUEsFBgAA&#10;AAAGAAYAWQEAAIgFAAAAAA==&#10;">
                <v:fill on="f" focussize="0,0"/>
                <v:stroke on="f"/>
                <v:imagedata o:title=""/>
                <o:lock v:ext="edit" aspectratio="f"/>
                <v:textbox inset="0mm,0mm,0mm,0mm" style="mso-fit-shape-to-text:t;">
                  <w:txbxContent>
                    <w:p w14:paraId="7F034FE2">
                      <w:pPr>
                        <w:rPr>
                          <w:sz w:val="20"/>
                        </w:rPr>
                      </w:pPr>
                      <w:r>
                        <w:rPr>
                          <w:rFonts w:hint="eastAsia" w:ascii="宋体" w:cs="宋体"/>
                          <w:bCs/>
                          <w:color w:val="000000"/>
                          <w:sz w:val="22"/>
                        </w:rPr>
                        <w:t>密封线</w:t>
                      </w:r>
                    </w:p>
                  </w:txbxContent>
                </v:textbox>
              </v:rect>
            </w:pict>
          </mc:Fallback>
        </mc:AlternateContent>
      </w:r>
      <w:r>
        <w:rPr>
          <w:rFonts w:ascii="宋体" w:hAnsi="宋体" w:cs="宋体"/>
          <w:b w:val="0"/>
          <w:bCs/>
          <w:color w:val="auto"/>
          <w:highlight w:val="none"/>
        </w:rPr>
        <mc:AlternateContent>
          <mc:Choice Requires="wps">
            <w:drawing>
              <wp:anchor distT="0" distB="0" distL="114300" distR="114300" simplePos="0" relativeHeight="251667456" behindDoc="0" locked="0" layoutInCell="1" allowOverlap="1">
                <wp:simplePos x="0" y="0"/>
                <wp:positionH relativeFrom="character">
                  <wp:posOffset>4615180</wp:posOffset>
                </wp:positionH>
                <wp:positionV relativeFrom="line">
                  <wp:posOffset>8111490</wp:posOffset>
                </wp:positionV>
                <wp:extent cx="1156335" cy="396240"/>
                <wp:effectExtent l="0" t="0" r="0" b="0"/>
                <wp:wrapNone/>
                <wp:docPr id="123" name="矩形 113"/>
                <wp:cNvGraphicFramePr/>
                <a:graphic xmlns:a="http://schemas.openxmlformats.org/drawingml/2006/main">
                  <a:graphicData uri="http://schemas.microsoft.com/office/word/2010/wordprocessingShape">
                    <wps:wsp>
                      <wps:cNvSpPr/>
                      <wps:spPr>
                        <a:xfrm>
                          <a:off x="5720080" y="8860790"/>
                          <a:ext cx="1156335" cy="396240"/>
                        </a:xfrm>
                        <a:prstGeom prst="rect">
                          <a:avLst/>
                        </a:prstGeom>
                        <a:noFill/>
                        <a:ln w="9525">
                          <a:noFill/>
                        </a:ln>
                        <a:effectLst/>
                      </wps:spPr>
                      <wps:txbx>
                        <w:txbxContent>
                          <w:p w14:paraId="7F034FE3">
                            <w:pPr>
                              <w:rPr>
                                <w:sz w:val="20"/>
                              </w:rPr>
                            </w:pPr>
                            <w:r>
                              <w:rPr>
                                <w:rFonts w:hint="eastAsia" w:ascii="宋体" w:cs="宋体"/>
                                <w:bCs/>
                                <w:color w:val="000000"/>
                                <w:sz w:val="28"/>
                                <w:szCs w:val="30"/>
                              </w:rPr>
                              <w:t>(盖单位章处）</w:t>
                            </w:r>
                          </w:p>
                        </w:txbxContent>
                      </wps:txbx>
                      <wps:bodyPr wrap="none" lIns="0" tIns="0" rIns="0" bIns="0" upright="1">
                        <a:spAutoFit/>
                      </wps:bodyPr>
                    </wps:wsp>
                  </a:graphicData>
                </a:graphic>
              </wp:anchor>
            </w:drawing>
          </mc:Choice>
          <mc:Fallback>
            <w:pict>
              <v:rect id="矩形 113" o:spid="_x0000_s1026" o:spt="1" style="position:absolute;left:0pt;margin-left:363.4pt;margin-top:638.7pt;height:31.2pt;width:91.05pt;mso-position-horizontal-relative:char;mso-position-vertical-relative:line;mso-wrap-style:none;z-index:251667456;mso-width-relative:page;mso-height-relative:page;" filled="f" stroked="f" coordsize="21600,21600" o:gfxdata="UEsDBAoAAAAAAIdO4kAAAAAAAAAAAAAAAAAEAAAAZHJzL1BLAwQUAAAACACHTuJA7DZO0tkAAAAN&#10;AQAADwAAAGRycy9kb3ducmV2LnhtbE2PS0/DMBCE70j8B2uRuFG7KWoexOkBqRIgLk37A9x48xB+&#10;RLbblH/PcoLj7Ixmvq13N2vYFUOcvJOwXglg6DqvJzdIOB33TwWwmJTTyniHEr4xwq65v6tVpf3i&#10;Dnht08CoxMVKSRhTmivOYzeiVXHlZ3Tk9T5YlUiGgeugFiq3hmdCbLlVk6OFUc34OmL31V6sBH5s&#10;90vRmiD8R9Z/mve3Q49eyseHtXgBlvCW/sLwi0/o0BDT2V+cjsxIyLMtoScysjx/BkaRUhQlsDOd&#10;NpuyAN7U/P8XzQ9QSwMEFAAAAAgAh07iQF3VOu3iAQAAsgMAAA4AAABkcnMvZTJvRG9jLnhtbK1T&#10;S27bMBDdF+gdCO5r/SrHFkwHAYwUBYo2QNoD0BRlEeAPJG3JpynQXQ/R4xS9RoeU7BTpJotsqKH4&#10;+Gbem+HmdlQSnbjzwmiCi0WOEdfMtEIfCP729f7dCiMfqG6pNJoTfOYe327fvtkMtuGl6Y1suUNA&#10;on0zWIL7EGyTZZ71XFG/MJZrOOyMUzTA1h2y1tEB2JXMyjxfZoNxrXWGce/h7246xDOjewmh6TrB&#10;+M6wo+I6TKyOSxpAku+F9Xibqu06zsKXrvM8IEkwKA1phSQQ7+OabTe0OThqe8HmEuhLSnimSVGh&#10;IemVakcDRUcn/qNSgjnjTRcWzKhsEpIcARVF/sybx55anrSA1d5eTfevR8s+nx4cEi1MQllhpKmC&#10;lv/5/vP3rx+oKKroz2B9A7BH++DmnYcwih07p+IXZKCR4PoG+rsCZ88Er1bL/GY9+8vHgBgAiqJe&#10;VlWNEQNEtV6W7xMge2KyzocP3CgUA4Id9C/ZSk+ffIDsAL1AYmJt7oWUqYdSo4HgdV3W6cL1BG5I&#10;HbE8TcNMEzVNKmIUxv04S9ub9gyGDDARBGt4ABjJjxoMj8NzCdwl2F+Co3Xi0EPFRcru7d0xQG2p&#10;5JhhooX64wZamZTMYxdn5d99Qj09te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DZO0tkAAAAN&#10;AQAADwAAAAAAAAABACAAAAAiAAAAZHJzL2Rvd25yZXYueG1sUEsBAhQAFAAAAAgAh07iQF3VOu3i&#10;AQAAsgMAAA4AAAAAAAAAAQAgAAAAKAEAAGRycy9lMm9Eb2MueG1sUEsFBgAAAAAGAAYAWQEAAHwF&#10;AAAAAA==&#10;">
                <v:fill on="f" focussize="0,0"/>
                <v:stroke on="f"/>
                <v:imagedata o:title=""/>
                <o:lock v:ext="edit" aspectratio="f"/>
                <v:textbox inset="0mm,0mm,0mm,0mm" style="mso-fit-shape-to-text:t;">
                  <w:txbxContent>
                    <w:p w14:paraId="7F034FE3">
                      <w:pPr>
                        <w:rPr>
                          <w:sz w:val="20"/>
                        </w:rPr>
                      </w:pPr>
                      <w:r>
                        <w:rPr>
                          <w:rFonts w:hint="eastAsia" w:ascii="宋体" w:cs="宋体"/>
                          <w:bCs/>
                          <w:color w:val="000000"/>
                          <w:sz w:val="28"/>
                          <w:szCs w:val="30"/>
                        </w:rPr>
                        <w:t>(盖单位章处）</w:t>
                      </w:r>
                    </w:p>
                  </w:txbxContent>
                </v:textbox>
              </v:rect>
            </w:pict>
          </mc:Fallback>
        </mc:AlternateContent>
      </w:r>
    </w:p>
    <w:p w14:paraId="7F034F73">
      <w:pPr>
        <w:rPr>
          <w:rFonts w:ascii="宋体" w:hAnsi="宋体" w:cs="宋体"/>
          <w:b w:val="0"/>
          <w:bCs/>
          <w:color w:val="auto"/>
          <w:highlight w:val="none"/>
        </w:rPr>
      </w:pPr>
    </w:p>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书宋简体">
    <w:altName w:val="宋体"/>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0">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34FE4">
                          <w:pPr>
                            <w:pStyle w:val="2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F034FE4">
                    <w:pPr>
                      <w:pStyle w:val="2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2">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34FE5">
                          <w:pPr>
                            <w:pStyle w:val="29"/>
                          </w:pPr>
                        </w:p>
                        <w:p w14:paraId="7F034FE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F034FE5">
                    <w:pPr>
                      <w:pStyle w:val="29"/>
                    </w:pPr>
                  </w:p>
                  <w:p w14:paraId="7F034FE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5">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34FE7">
                          <w:pPr>
                            <w:pStyle w:val="29"/>
                          </w:pPr>
                        </w:p>
                        <w:p w14:paraId="7F034FE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F034FE7">
                    <w:pPr>
                      <w:pStyle w:val="29"/>
                    </w:pPr>
                  </w:p>
                  <w:p w14:paraId="7F034FE8"/>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3">
    <w:pPr>
      <w:pStyle w:val="29"/>
      <w:framePr w:wrap="around" w:vAnchor="text" w:hAnchor="margin" w:xAlign="center" w:y="1"/>
      <w:rPr>
        <w:rStyle w:val="51"/>
      </w:rPr>
    </w:pPr>
    <w:r>
      <w:fldChar w:fldCharType="begin"/>
    </w:r>
    <w:r>
      <w:rPr>
        <w:rStyle w:val="51"/>
      </w:rPr>
      <w:instrText xml:space="preserve">PAGE  </w:instrText>
    </w:r>
    <w:r>
      <w:fldChar w:fldCharType="separate"/>
    </w:r>
    <w:r>
      <w:rPr>
        <w:rStyle w:val="51"/>
      </w:rPr>
      <w:t>264</w:t>
    </w:r>
    <w:r>
      <w:fldChar w:fldCharType="end"/>
    </w:r>
  </w:p>
  <w:p w14:paraId="7F034FB4">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8">
    <w:pPr>
      <w:pStyle w:val="29"/>
      <w:jc w:val="center"/>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034FE9">
                          <w:pPr>
                            <w:pStyle w:val="29"/>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2QtMkBAACb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jLZC0yQEAAJsDAAAOAAAAAAAAAAEAIAAAAB4BAABkcnMvZTJvRG9j&#10;LnhtbFBLBQYAAAAABgAGAFkBAABZBQAAAAA=&#10;">
              <v:fill on="f" focussize="0,0"/>
              <v:stroke on="f"/>
              <v:imagedata o:title=""/>
              <o:lock v:ext="edit" aspectratio="f"/>
              <v:textbox inset="0mm,0mm,0mm,0mm" style="mso-fit-shape-to-text:t;">
                <w:txbxContent>
                  <w:p w14:paraId="7F034FE9">
                    <w:pPr>
                      <w:pStyle w:val="29"/>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7F034FB9">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B">
    <w:pPr>
      <w:pStyle w:val="29"/>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034FEA">
                          <w:pPr>
                            <w:pStyle w:val="29"/>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7F034FEA">
                    <w:pPr>
                      <w:pStyle w:val="2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C">
    <w:pPr>
      <w:pStyle w:val="29"/>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034FEB">
                          <w:pPr>
                            <w:pStyle w:val="29"/>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F034FEB">
                    <w:pPr>
                      <w:pStyle w:val="2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C4">
    <w:pPr>
      <w:pStyle w:val="29"/>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34FEF">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7F034FEF">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C7">
    <w:pPr>
      <w:pStyle w:val="29"/>
      <w:ind w:firstLine="36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34FF0">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7F034FF0">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AF">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7">
    <w:pPr>
      <w:pStyle w:val="30"/>
      <w:pBdr>
        <w:bottom w:val="none" w:color="auto" w:sz="0" w:space="1"/>
      </w:pBdr>
      <w:jc w:val="left"/>
      <w:rPr>
        <w:rFonts w:hint="eastAsia" w:ascii="宋体" w:hAnsi="宋体"/>
        <w:b/>
        <w:bCs/>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BA">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C3">
    <w:pPr>
      <w:pStyle w:val="30"/>
      <w:pBdr>
        <w:bottom w:val="none" w:color="auto" w:sz="0" w:space="1"/>
      </w:pBdr>
      <w:rPr>
        <w:rFonts w:hint="eastAsia" w:ascii="宋体" w:hAnsi="宋体"/>
        <w:b/>
        <w:bCs/>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34FC5">
    <w:pPr>
      <w:pStyle w:val="30"/>
      <w:pBdr>
        <w:bottom w:val="none" w:color="auto" w:sz="0" w:space="1"/>
      </w:pBdr>
      <w:ind w:firstLine="360" w:firstLineChars="200"/>
      <w:jc w:val="both"/>
    </w:pPr>
  </w:p>
  <w:p w14:paraId="7F034FC6">
    <w:pPr>
      <w:pStyle w:val="30"/>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2BCD85"/>
    <w:multiLevelType w:val="multilevel"/>
    <w:tmpl w:val="B82BCD85"/>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C3379B02"/>
    <w:multiLevelType w:val="singleLevel"/>
    <w:tmpl w:val="C3379B02"/>
    <w:lvl w:ilvl="0" w:tentative="0">
      <w:start w:val="3"/>
      <w:numFmt w:val="upperLetter"/>
      <w:suff w:val="nothing"/>
      <w:lvlText w:val="%1）"/>
      <w:lvlJc w:val="left"/>
      <w:rPr>
        <w:rFonts w:hint="default"/>
        <w:color w:val="auto"/>
      </w:rPr>
    </w:lvl>
  </w:abstractNum>
  <w:abstractNum w:abstractNumId="2">
    <w:nsid w:val="F9644548"/>
    <w:multiLevelType w:val="singleLevel"/>
    <w:tmpl w:val="F9644548"/>
    <w:lvl w:ilvl="0" w:tentative="0">
      <w:start w:val="1"/>
      <w:numFmt w:val="decimal"/>
      <w:suff w:val="nothing"/>
      <w:lvlText w:val="%1、"/>
      <w:lvlJc w:val="left"/>
    </w:lvl>
  </w:abstractNum>
  <w:abstractNum w:abstractNumId="3">
    <w:nsid w:val="04666772"/>
    <w:multiLevelType w:val="multilevel"/>
    <w:tmpl w:val="04666772"/>
    <w:lvl w:ilvl="0" w:tentative="0">
      <w:start w:val="1"/>
      <w:numFmt w:val="decimal"/>
      <w:lvlText w:val="%1、"/>
      <w:lvlJc w:val="left"/>
      <w:pPr>
        <w:ind w:left="720" w:hanging="72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DA58C9C"/>
    <w:multiLevelType w:val="multilevel"/>
    <w:tmpl w:val="0DA58C9C"/>
    <w:lvl w:ilvl="0" w:tentative="0">
      <w:start w:val="1"/>
      <w:numFmt w:val="decimal"/>
      <w:lvlText w:val="%1."/>
      <w:lvlJc w:val="left"/>
      <w:pPr>
        <w:tabs>
          <w:tab w:val="left" w:pos="720"/>
        </w:tabs>
        <w:ind w:left="720" w:hanging="360"/>
      </w:pPr>
    </w:lvl>
    <w:lvl w:ilvl="1" w:tentative="0">
      <w:start w:val="4"/>
      <w:numFmt w:val="decimal"/>
      <w:lvlText w:val="（%2）"/>
      <w:lvlJc w:val="left"/>
      <w:pPr>
        <w:ind w:left="1800" w:hanging="72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E76B1E9"/>
    <w:multiLevelType w:val="singleLevel"/>
    <w:tmpl w:val="0E76B1E9"/>
    <w:lvl w:ilvl="0" w:tentative="0">
      <w:start w:val="1"/>
      <w:numFmt w:val="decimal"/>
      <w:suff w:val="nothing"/>
      <w:lvlText w:val="%1、"/>
      <w:lvlJc w:val="left"/>
    </w:lvl>
  </w:abstractNum>
  <w:abstractNum w:abstractNumId="6">
    <w:nsid w:val="13F97879"/>
    <w:multiLevelType w:val="multilevel"/>
    <w:tmpl w:val="13F9787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7233BF1"/>
    <w:multiLevelType w:val="multilevel"/>
    <w:tmpl w:val="17233BF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327579A9"/>
    <w:multiLevelType w:val="multilevel"/>
    <w:tmpl w:val="327579A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32FB063C"/>
    <w:multiLevelType w:val="multilevel"/>
    <w:tmpl w:val="32FB063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A65628B"/>
    <w:multiLevelType w:val="multilevel"/>
    <w:tmpl w:val="3A65628B"/>
    <w:lvl w:ilvl="0" w:tentative="0">
      <w:start w:val="1"/>
      <w:numFmt w:val="decimal"/>
      <w:lvlText w:val="%1."/>
      <w:lvlJc w:val="left"/>
      <w:pPr>
        <w:tabs>
          <w:tab w:val="left" w:pos="720"/>
        </w:tabs>
        <w:ind w:left="720" w:hanging="360"/>
      </w:pPr>
    </w:lvl>
    <w:lvl w:ilvl="1" w:tentative="0">
      <w:start w:val="4"/>
      <w:numFmt w:val="decimal"/>
      <w:lvlText w:val="（%2）"/>
      <w:lvlJc w:val="left"/>
      <w:pPr>
        <w:ind w:left="1800" w:hanging="72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3DF0DA14"/>
    <w:multiLevelType w:val="multilevel"/>
    <w:tmpl w:val="3DF0DA1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2">
    <w:nsid w:val="4B7E5A7C"/>
    <w:multiLevelType w:val="multilevel"/>
    <w:tmpl w:val="4B7E5A7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4C936656"/>
    <w:multiLevelType w:val="multilevel"/>
    <w:tmpl w:val="4C936656"/>
    <w:lvl w:ilvl="0" w:tentative="0">
      <w:start w:val="1"/>
      <w:numFmt w:val="decimal"/>
      <w:lvlText w:val="%1、"/>
      <w:lvlJc w:val="left"/>
      <w:pPr>
        <w:ind w:left="360" w:hanging="360"/>
      </w:pPr>
      <w:rPr>
        <w:rFonts w:hint="default"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A164257"/>
    <w:multiLevelType w:val="multilevel"/>
    <w:tmpl w:val="5A164257"/>
    <w:lvl w:ilvl="0" w:tentative="0">
      <w:start w:val="1"/>
      <w:numFmt w:val="decimal"/>
      <w:lvlText w:val="%1、"/>
      <w:lvlJc w:val="left"/>
      <w:pPr>
        <w:ind w:left="720" w:hanging="72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BC00B8D"/>
    <w:multiLevelType w:val="multilevel"/>
    <w:tmpl w:val="5BC00B8D"/>
    <w:lvl w:ilvl="0" w:tentative="0">
      <w:start w:val="1"/>
      <w:numFmt w:val="decimal"/>
      <w:lvlText w:val="（%1）"/>
      <w:lvlJc w:val="left"/>
      <w:pPr>
        <w:ind w:left="720" w:hanging="7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D0A1F85"/>
    <w:multiLevelType w:val="multilevel"/>
    <w:tmpl w:val="5D0A1F85"/>
    <w:lvl w:ilvl="0" w:tentative="0">
      <w:start w:val="1"/>
      <w:numFmt w:val="decimal"/>
      <w:lvlText w:val="%1、"/>
      <w:lvlJc w:val="left"/>
      <w:pPr>
        <w:ind w:left="360" w:hanging="360"/>
      </w:pPr>
      <w:rPr>
        <w:rFonts w:hint="default" w:hAnsi="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F04333C"/>
    <w:multiLevelType w:val="multilevel"/>
    <w:tmpl w:val="6F04333C"/>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8">
    <w:nsid w:val="75F04528"/>
    <w:multiLevelType w:val="multilevel"/>
    <w:tmpl w:val="75F04528"/>
    <w:lvl w:ilvl="0" w:tentative="0">
      <w:start w:val="1"/>
      <w:numFmt w:val="decimal"/>
      <w:lvlText w:val="%1、"/>
      <w:lvlJc w:val="left"/>
      <w:pPr>
        <w:ind w:left="720" w:hanging="72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5"/>
  </w:num>
  <w:num w:numId="2">
    <w:abstractNumId w:val="12"/>
  </w:num>
  <w:num w:numId="3">
    <w:abstractNumId w:val="9"/>
  </w:num>
  <w:num w:numId="4">
    <w:abstractNumId w:val="1"/>
  </w:num>
  <w:num w:numId="5">
    <w:abstractNumId w:val="6"/>
  </w:num>
  <w:num w:numId="6">
    <w:abstractNumId w:val="18"/>
  </w:num>
  <w:num w:numId="7">
    <w:abstractNumId w:val="3"/>
  </w:num>
  <w:num w:numId="8">
    <w:abstractNumId w:val="14"/>
  </w:num>
  <w:num w:numId="9">
    <w:abstractNumId w:val="16"/>
  </w:num>
  <w:num w:numId="10">
    <w:abstractNumId w:val="13"/>
  </w:num>
  <w:num w:numId="11">
    <w:abstractNumId w:val="7"/>
  </w:num>
  <w:num w:numId="12">
    <w:abstractNumId w:val="2"/>
  </w:num>
  <w:num w:numId="13">
    <w:abstractNumId w:val="11"/>
  </w:num>
  <w:num w:numId="14">
    <w:abstractNumId w:val="8"/>
  </w:num>
  <w:num w:numId="15">
    <w:abstractNumId w:val="10"/>
  </w:num>
  <w:num w:numId="16">
    <w:abstractNumId w:val="17"/>
  </w:num>
  <w:num w:numId="17">
    <w:abstractNumId w:val="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Y2RlYjM1ZmIzNzMwNzlkMWFlZTI0NGUxMmFjMTMifQ=="/>
  </w:docVars>
  <w:rsids>
    <w:rsidRoot w:val="00172A27"/>
    <w:rsid w:val="0001716C"/>
    <w:rsid w:val="000172B2"/>
    <w:rsid w:val="000269C4"/>
    <w:rsid w:val="0003117E"/>
    <w:rsid w:val="00050B5A"/>
    <w:rsid w:val="00073A73"/>
    <w:rsid w:val="00091B45"/>
    <w:rsid w:val="00096C0D"/>
    <w:rsid w:val="000A45C9"/>
    <w:rsid w:val="000B1A49"/>
    <w:rsid w:val="000C0DAA"/>
    <w:rsid w:val="000C2EE1"/>
    <w:rsid w:val="000C48CA"/>
    <w:rsid w:val="00107B10"/>
    <w:rsid w:val="00113606"/>
    <w:rsid w:val="00114822"/>
    <w:rsid w:val="00116908"/>
    <w:rsid w:val="00132DC2"/>
    <w:rsid w:val="00136F92"/>
    <w:rsid w:val="0014518F"/>
    <w:rsid w:val="00163AD2"/>
    <w:rsid w:val="001661FC"/>
    <w:rsid w:val="00172A27"/>
    <w:rsid w:val="00190F60"/>
    <w:rsid w:val="00195708"/>
    <w:rsid w:val="001C448A"/>
    <w:rsid w:val="001C5AC8"/>
    <w:rsid w:val="001D5B6E"/>
    <w:rsid w:val="00203544"/>
    <w:rsid w:val="00214982"/>
    <w:rsid w:val="002515CB"/>
    <w:rsid w:val="00276A4F"/>
    <w:rsid w:val="0027778B"/>
    <w:rsid w:val="002F0760"/>
    <w:rsid w:val="002F3314"/>
    <w:rsid w:val="002F599A"/>
    <w:rsid w:val="00303224"/>
    <w:rsid w:val="00326BDA"/>
    <w:rsid w:val="003347D8"/>
    <w:rsid w:val="00344821"/>
    <w:rsid w:val="00347F6A"/>
    <w:rsid w:val="00351AAE"/>
    <w:rsid w:val="00360932"/>
    <w:rsid w:val="00363C12"/>
    <w:rsid w:val="003765C0"/>
    <w:rsid w:val="0038024F"/>
    <w:rsid w:val="0038701F"/>
    <w:rsid w:val="00391E87"/>
    <w:rsid w:val="003A620F"/>
    <w:rsid w:val="003D0CDC"/>
    <w:rsid w:val="003D68D4"/>
    <w:rsid w:val="00406723"/>
    <w:rsid w:val="00411B6D"/>
    <w:rsid w:val="00415982"/>
    <w:rsid w:val="00420800"/>
    <w:rsid w:val="0042139F"/>
    <w:rsid w:val="00433569"/>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5975"/>
    <w:rsid w:val="00512EF7"/>
    <w:rsid w:val="00525133"/>
    <w:rsid w:val="0053743A"/>
    <w:rsid w:val="00545BFB"/>
    <w:rsid w:val="0055101A"/>
    <w:rsid w:val="005543FE"/>
    <w:rsid w:val="00575F4A"/>
    <w:rsid w:val="00590FE4"/>
    <w:rsid w:val="00593DC0"/>
    <w:rsid w:val="00595353"/>
    <w:rsid w:val="005A6AE2"/>
    <w:rsid w:val="005B2E03"/>
    <w:rsid w:val="005B2E91"/>
    <w:rsid w:val="005B6CC9"/>
    <w:rsid w:val="005C4941"/>
    <w:rsid w:val="005F5759"/>
    <w:rsid w:val="005F6E7E"/>
    <w:rsid w:val="00601773"/>
    <w:rsid w:val="0060505A"/>
    <w:rsid w:val="006072F6"/>
    <w:rsid w:val="006136E6"/>
    <w:rsid w:val="00621A66"/>
    <w:rsid w:val="006232AB"/>
    <w:rsid w:val="00624515"/>
    <w:rsid w:val="00626A41"/>
    <w:rsid w:val="00651630"/>
    <w:rsid w:val="006744F3"/>
    <w:rsid w:val="006A4F0D"/>
    <w:rsid w:val="006D1737"/>
    <w:rsid w:val="006D2C60"/>
    <w:rsid w:val="006E0BD0"/>
    <w:rsid w:val="006F18B9"/>
    <w:rsid w:val="006F3F5E"/>
    <w:rsid w:val="007101E2"/>
    <w:rsid w:val="007347BD"/>
    <w:rsid w:val="00736A8F"/>
    <w:rsid w:val="007371EC"/>
    <w:rsid w:val="00747D81"/>
    <w:rsid w:val="00757B98"/>
    <w:rsid w:val="007672A6"/>
    <w:rsid w:val="00767A4A"/>
    <w:rsid w:val="00782EE9"/>
    <w:rsid w:val="00797E4E"/>
    <w:rsid w:val="007B06F0"/>
    <w:rsid w:val="007B1726"/>
    <w:rsid w:val="007B691A"/>
    <w:rsid w:val="0081619F"/>
    <w:rsid w:val="008227A1"/>
    <w:rsid w:val="0082524D"/>
    <w:rsid w:val="00826780"/>
    <w:rsid w:val="008317BD"/>
    <w:rsid w:val="00834A1E"/>
    <w:rsid w:val="00842C80"/>
    <w:rsid w:val="00854254"/>
    <w:rsid w:val="00862AB9"/>
    <w:rsid w:val="00863569"/>
    <w:rsid w:val="008708D3"/>
    <w:rsid w:val="00870FC8"/>
    <w:rsid w:val="00875E0D"/>
    <w:rsid w:val="0088121D"/>
    <w:rsid w:val="00883DE3"/>
    <w:rsid w:val="008855A1"/>
    <w:rsid w:val="00895CA5"/>
    <w:rsid w:val="008B2A9B"/>
    <w:rsid w:val="008C2E51"/>
    <w:rsid w:val="008D56B3"/>
    <w:rsid w:val="008E0DF2"/>
    <w:rsid w:val="009229F7"/>
    <w:rsid w:val="00936E3A"/>
    <w:rsid w:val="00943E72"/>
    <w:rsid w:val="00947CBB"/>
    <w:rsid w:val="009501FF"/>
    <w:rsid w:val="00971A27"/>
    <w:rsid w:val="00980B01"/>
    <w:rsid w:val="00985BFD"/>
    <w:rsid w:val="0099244F"/>
    <w:rsid w:val="009957A5"/>
    <w:rsid w:val="00995C70"/>
    <w:rsid w:val="0099761C"/>
    <w:rsid w:val="00997A94"/>
    <w:rsid w:val="009D3348"/>
    <w:rsid w:val="009D5CBC"/>
    <w:rsid w:val="009E7317"/>
    <w:rsid w:val="00A004AD"/>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B18C0"/>
    <w:rsid w:val="00AC25D4"/>
    <w:rsid w:val="00AC6A5B"/>
    <w:rsid w:val="00AC714D"/>
    <w:rsid w:val="00AD45F1"/>
    <w:rsid w:val="00AD7A1A"/>
    <w:rsid w:val="00AE7597"/>
    <w:rsid w:val="00AF2F24"/>
    <w:rsid w:val="00B01C60"/>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C5564"/>
    <w:rsid w:val="00CD7BCA"/>
    <w:rsid w:val="00D023AB"/>
    <w:rsid w:val="00D03FF2"/>
    <w:rsid w:val="00D076D4"/>
    <w:rsid w:val="00D10336"/>
    <w:rsid w:val="00D32A09"/>
    <w:rsid w:val="00D33FB0"/>
    <w:rsid w:val="00D34594"/>
    <w:rsid w:val="00D5091A"/>
    <w:rsid w:val="00D51446"/>
    <w:rsid w:val="00D647F9"/>
    <w:rsid w:val="00D65229"/>
    <w:rsid w:val="00D737C1"/>
    <w:rsid w:val="00D97D9B"/>
    <w:rsid w:val="00DB3AA5"/>
    <w:rsid w:val="00DD6B9D"/>
    <w:rsid w:val="00DE4FFB"/>
    <w:rsid w:val="00DF472C"/>
    <w:rsid w:val="00DF4946"/>
    <w:rsid w:val="00DF4FE5"/>
    <w:rsid w:val="00E11E56"/>
    <w:rsid w:val="00E120EE"/>
    <w:rsid w:val="00E40C30"/>
    <w:rsid w:val="00E47BD5"/>
    <w:rsid w:val="00E543D6"/>
    <w:rsid w:val="00E61612"/>
    <w:rsid w:val="00E67C87"/>
    <w:rsid w:val="00E87D55"/>
    <w:rsid w:val="00EB7B6A"/>
    <w:rsid w:val="00EF2041"/>
    <w:rsid w:val="00EF3EC0"/>
    <w:rsid w:val="00F00C7E"/>
    <w:rsid w:val="00F07C71"/>
    <w:rsid w:val="00F3279A"/>
    <w:rsid w:val="00F55A69"/>
    <w:rsid w:val="00F676F0"/>
    <w:rsid w:val="00F753F0"/>
    <w:rsid w:val="00F9257E"/>
    <w:rsid w:val="00FA261D"/>
    <w:rsid w:val="00FB621B"/>
    <w:rsid w:val="00FF4D4B"/>
    <w:rsid w:val="016F5A53"/>
    <w:rsid w:val="01A77992"/>
    <w:rsid w:val="01C81635"/>
    <w:rsid w:val="020110AA"/>
    <w:rsid w:val="02456512"/>
    <w:rsid w:val="027B37D5"/>
    <w:rsid w:val="028B7029"/>
    <w:rsid w:val="02C73591"/>
    <w:rsid w:val="02DA76BF"/>
    <w:rsid w:val="03035A75"/>
    <w:rsid w:val="032E0F4B"/>
    <w:rsid w:val="034A3564"/>
    <w:rsid w:val="03E5141C"/>
    <w:rsid w:val="03F94E0A"/>
    <w:rsid w:val="04635599"/>
    <w:rsid w:val="04DE3380"/>
    <w:rsid w:val="05B341DD"/>
    <w:rsid w:val="05CA642C"/>
    <w:rsid w:val="05FB3852"/>
    <w:rsid w:val="060F6AC5"/>
    <w:rsid w:val="06205B52"/>
    <w:rsid w:val="065A0C2F"/>
    <w:rsid w:val="076D1CAF"/>
    <w:rsid w:val="082062BB"/>
    <w:rsid w:val="088B2566"/>
    <w:rsid w:val="08B34944"/>
    <w:rsid w:val="09514FE3"/>
    <w:rsid w:val="09B27B50"/>
    <w:rsid w:val="09D848E1"/>
    <w:rsid w:val="09F40CC1"/>
    <w:rsid w:val="09FF1FA9"/>
    <w:rsid w:val="0A4E2240"/>
    <w:rsid w:val="0AF1029B"/>
    <w:rsid w:val="0B555A50"/>
    <w:rsid w:val="0B7E4269"/>
    <w:rsid w:val="0BC86AE6"/>
    <w:rsid w:val="0C004A91"/>
    <w:rsid w:val="0C4F281C"/>
    <w:rsid w:val="0C83617B"/>
    <w:rsid w:val="0DA93533"/>
    <w:rsid w:val="0DC02887"/>
    <w:rsid w:val="0DD94183"/>
    <w:rsid w:val="0DDF48EE"/>
    <w:rsid w:val="0DFE262D"/>
    <w:rsid w:val="0EB72359"/>
    <w:rsid w:val="0EFC3981"/>
    <w:rsid w:val="0FF25A15"/>
    <w:rsid w:val="0FFC5D0A"/>
    <w:rsid w:val="10221450"/>
    <w:rsid w:val="110B2037"/>
    <w:rsid w:val="111E449D"/>
    <w:rsid w:val="11DA57CC"/>
    <w:rsid w:val="120A013B"/>
    <w:rsid w:val="12A44467"/>
    <w:rsid w:val="12B44D3C"/>
    <w:rsid w:val="12EE3177"/>
    <w:rsid w:val="13261AC9"/>
    <w:rsid w:val="1381210A"/>
    <w:rsid w:val="155A4791"/>
    <w:rsid w:val="15852F26"/>
    <w:rsid w:val="159B7958"/>
    <w:rsid w:val="15F74052"/>
    <w:rsid w:val="16313B46"/>
    <w:rsid w:val="169C4016"/>
    <w:rsid w:val="181847BE"/>
    <w:rsid w:val="18257CB9"/>
    <w:rsid w:val="19217B6C"/>
    <w:rsid w:val="19660093"/>
    <w:rsid w:val="196B73B1"/>
    <w:rsid w:val="1975219A"/>
    <w:rsid w:val="198F308C"/>
    <w:rsid w:val="1A027EB1"/>
    <w:rsid w:val="1A735D7E"/>
    <w:rsid w:val="1BEE3BE6"/>
    <w:rsid w:val="1C0C71B1"/>
    <w:rsid w:val="1C497438"/>
    <w:rsid w:val="1D191439"/>
    <w:rsid w:val="1D984A56"/>
    <w:rsid w:val="1E16738A"/>
    <w:rsid w:val="1E786BBE"/>
    <w:rsid w:val="1EAA2CB1"/>
    <w:rsid w:val="1F2E2E47"/>
    <w:rsid w:val="1F5F78B2"/>
    <w:rsid w:val="1FCC18A8"/>
    <w:rsid w:val="20106CB2"/>
    <w:rsid w:val="204260C0"/>
    <w:rsid w:val="208F121F"/>
    <w:rsid w:val="20905657"/>
    <w:rsid w:val="212C42E3"/>
    <w:rsid w:val="212E7357"/>
    <w:rsid w:val="21D325D9"/>
    <w:rsid w:val="22E67747"/>
    <w:rsid w:val="22F22A1F"/>
    <w:rsid w:val="232C6E61"/>
    <w:rsid w:val="238D5065"/>
    <w:rsid w:val="239536C7"/>
    <w:rsid w:val="23BF41FB"/>
    <w:rsid w:val="2432749E"/>
    <w:rsid w:val="24C56E87"/>
    <w:rsid w:val="25583467"/>
    <w:rsid w:val="2614570C"/>
    <w:rsid w:val="262F1AF6"/>
    <w:rsid w:val="26315D03"/>
    <w:rsid w:val="27914D3A"/>
    <w:rsid w:val="27BC4918"/>
    <w:rsid w:val="292A5EE5"/>
    <w:rsid w:val="293059CA"/>
    <w:rsid w:val="29630A8C"/>
    <w:rsid w:val="296D4B02"/>
    <w:rsid w:val="29AA0E8A"/>
    <w:rsid w:val="29EB3ABC"/>
    <w:rsid w:val="29F63D05"/>
    <w:rsid w:val="2A347881"/>
    <w:rsid w:val="2AB721F8"/>
    <w:rsid w:val="2B28694F"/>
    <w:rsid w:val="2B742122"/>
    <w:rsid w:val="2B92624A"/>
    <w:rsid w:val="2CC75C84"/>
    <w:rsid w:val="2D557841"/>
    <w:rsid w:val="2E276A03"/>
    <w:rsid w:val="2E78250A"/>
    <w:rsid w:val="2FD92310"/>
    <w:rsid w:val="30310B95"/>
    <w:rsid w:val="30662A7F"/>
    <w:rsid w:val="3079709D"/>
    <w:rsid w:val="30FF126C"/>
    <w:rsid w:val="3102072B"/>
    <w:rsid w:val="312C77BF"/>
    <w:rsid w:val="3135465C"/>
    <w:rsid w:val="313F372D"/>
    <w:rsid w:val="31B123A3"/>
    <w:rsid w:val="31DA0E24"/>
    <w:rsid w:val="322E7A29"/>
    <w:rsid w:val="323A1650"/>
    <w:rsid w:val="3389259F"/>
    <w:rsid w:val="344319D6"/>
    <w:rsid w:val="34667C71"/>
    <w:rsid w:val="348C3F96"/>
    <w:rsid w:val="35677B0C"/>
    <w:rsid w:val="368816E9"/>
    <w:rsid w:val="368D7B3B"/>
    <w:rsid w:val="36C06910"/>
    <w:rsid w:val="36CC2296"/>
    <w:rsid w:val="379C49A8"/>
    <w:rsid w:val="385D19D4"/>
    <w:rsid w:val="388E6F15"/>
    <w:rsid w:val="38C11124"/>
    <w:rsid w:val="398750C3"/>
    <w:rsid w:val="39B768CB"/>
    <w:rsid w:val="3A891C5C"/>
    <w:rsid w:val="3AAD24E0"/>
    <w:rsid w:val="3AE64F19"/>
    <w:rsid w:val="3B143421"/>
    <w:rsid w:val="3B1A20AF"/>
    <w:rsid w:val="3B6E20F8"/>
    <w:rsid w:val="3B9052B1"/>
    <w:rsid w:val="3C027E20"/>
    <w:rsid w:val="3C4E0CC8"/>
    <w:rsid w:val="3C650EB6"/>
    <w:rsid w:val="3C7362BC"/>
    <w:rsid w:val="3C76158A"/>
    <w:rsid w:val="3DCA1748"/>
    <w:rsid w:val="3DCA78C6"/>
    <w:rsid w:val="3DFF005A"/>
    <w:rsid w:val="3E3F16E6"/>
    <w:rsid w:val="3E7251A4"/>
    <w:rsid w:val="3E980CCF"/>
    <w:rsid w:val="3F1075FA"/>
    <w:rsid w:val="3F121648"/>
    <w:rsid w:val="3F2B55C2"/>
    <w:rsid w:val="3FA36C10"/>
    <w:rsid w:val="40AF1250"/>
    <w:rsid w:val="40F6622A"/>
    <w:rsid w:val="41547289"/>
    <w:rsid w:val="422B0BB3"/>
    <w:rsid w:val="42B10760"/>
    <w:rsid w:val="433C7611"/>
    <w:rsid w:val="43B34222"/>
    <w:rsid w:val="445515B4"/>
    <w:rsid w:val="445D27B9"/>
    <w:rsid w:val="44717ACA"/>
    <w:rsid w:val="44916C4F"/>
    <w:rsid w:val="44EB2DBE"/>
    <w:rsid w:val="45730A88"/>
    <w:rsid w:val="45CC1560"/>
    <w:rsid w:val="46774774"/>
    <w:rsid w:val="468C5173"/>
    <w:rsid w:val="46AB5D46"/>
    <w:rsid w:val="46C807D6"/>
    <w:rsid w:val="471B5D08"/>
    <w:rsid w:val="47257281"/>
    <w:rsid w:val="478101A3"/>
    <w:rsid w:val="47A53DD6"/>
    <w:rsid w:val="47DD238F"/>
    <w:rsid w:val="485F118F"/>
    <w:rsid w:val="489D01C2"/>
    <w:rsid w:val="48A1490F"/>
    <w:rsid w:val="48D55CE4"/>
    <w:rsid w:val="4A105FBA"/>
    <w:rsid w:val="4A372D9B"/>
    <w:rsid w:val="4A552F45"/>
    <w:rsid w:val="4A7E72B3"/>
    <w:rsid w:val="4A9D66AE"/>
    <w:rsid w:val="4AE47F69"/>
    <w:rsid w:val="4B232D20"/>
    <w:rsid w:val="4B334812"/>
    <w:rsid w:val="4B4441D0"/>
    <w:rsid w:val="4BBF56D2"/>
    <w:rsid w:val="4CC81BD9"/>
    <w:rsid w:val="4E100B12"/>
    <w:rsid w:val="4E5A0963"/>
    <w:rsid w:val="4F6B59C1"/>
    <w:rsid w:val="4F952C2C"/>
    <w:rsid w:val="4FCA09F6"/>
    <w:rsid w:val="50777DD3"/>
    <w:rsid w:val="50AF30B3"/>
    <w:rsid w:val="521A43FF"/>
    <w:rsid w:val="521D586D"/>
    <w:rsid w:val="52610E93"/>
    <w:rsid w:val="52BB1ED3"/>
    <w:rsid w:val="530F1FC1"/>
    <w:rsid w:val="54D666DD"/>
    <w:rsid w:val="54DD5342"/>
    <w:rsid w:val="56002D2F"/>
    <w:rsid w:val="56156687"/>
    <w:rsid w:val="56BC511E"/>
    <w:rsid w:val="56CB0A2B"/>
    <w:rsid w:val="57004B9A"/>
    <w:rsid w:val="57964860"/>
    <w:rsid w:val="57F73222"/>
    <w:rsid w:val="58AB42E3"/>
    <w:rsid w:val="5BEC7116"/>
    <w:rsid w:val="5C3A2A4E"/>
    <w:rsid w:val="5C785664"/>
    <w:rsid w:val="5C9C27E6"/>
    <w:rsid w:val="5CDB6DB4"/>
    <w:rsid w:val="5D075F7D"/>
    <w:rsid w:val="5D280E87"/>
    <w:rsid w:val="5E5D237F"/>
    <w:rsid w:val="5EA13C44"/>
    <w:rsid w:val="5ECA6A83"/>
    <w:rsid w:val="5F015CCB"/>
    <w:rsid w:val="5FB32C8F"/>
    <w:rsid w:val="60803296"/>
    <w:rsid w:val="613E3976"/>
    <w:rsid w:val="61462A30"/>
    <w:rsid w:val="61A1723E"/>
    <w:rsid w:val="62160FF0"/>
    <w:rsid w:val="62361F2E"/>
    <w:rsid w:val="642E4744"/>
    <w:rsid w:val="64466571"/>
    <w:rsid w:val="64A75E62"/>
    <w:rsid w:val="64F729DB"/>
    <w:rsid w:val="652735EC"/>
    <w:rsid w:val="65364EFD"/>
    <w:rsid w:val="65376019"/>
    <w:rsid w:val="6570195B"/>
    <w:rsid w:val="65790CE9"/>
    <w:rsid w:val="65C47BA5"/>
    <w:rsid w:val="66741E8A"/>
    <w:rsid w:val="66DD4F9F"/>
    <w:rsid w:val="67B76083"/>
    <w:rsid w:val="67CA6313"/>
    <w:rsid w:val="67D509EC"/>
    <w:rsid w:val="685C47AD"/>
    <w:rsid w:val="687436E1"/>
    <w:rsid w:val="68757780"/>
    <w:rsid w:val="687B4773"/>
    <w:rsid w:val="68B61B95"/>
    <w:rsid w:val="68EC674F"/>
    <w:rsid w:val="69053341"/>
    <w:rsid w:val="692B7D65"/>
    <w:rsid w:val="697C4C17"/>
    <w:rsid w:val="698314F7"/>
    <w:rsid w:val="698A5DA7"/>
    <w:rsid w:val="69D63F27"/>
    <w:rsid w:val="6B222BED"/>
    <w:rsid w:val="6B276B00"/>
    <w:rsid w:val="6B301D81"/>
    <w:rsid w:val="6B744236"/>
    <w:rsid w:val="6B841E75"/>
    <w:rsid w:val="6BA134D1"/>
    <w:rsid w:val="6BFC78E7"/>
    <w:rsid w:val="6C605737"/>
    <w:rsid w:val="6C862716"/>
    <w:rsid w:val="6D4C3D11"/>
    <w:rsid w:val="6E3603E6"/>
    <w:rsid w:val="6E5C32AB"/>
    <w:rsid w:val="6E9D3265"/>
    <w:rsid w:val="6ED664C6"/>
    <w:rsid w:val="6EF82C2B"/>
    <w:rsid w:val="6F3232B4"/>
    <w:rsid w:val="70206492"/>
    <w:rsid w:val="702B57EE"/>
    <w:rsid w:val="709C4221"/>
    <w:rsid w:val="70C328F3"/>
    <w:rsid w:val="70F74C7B"/>
    <w:rsid w:val="7169742F"/>
    <w:rsid w:val="731930F2"/>
    <w:rsid w:val="737067CE"/>
    <w:rsid w:val="74100048"/>
    <w:rsid w:val="7438794A"/>
    <w:rsid w:val="757260E7"/>
    <w:rsid w:val="760A12D0"/>
    <w:rsid w:val="76155B22"/>
    <w:rsid w:val="77B971CE"/>
    <w:rsid w:val="77F9710F"/>
    <w:rsid w:val="787C42EA"/>
    <w:rsid w:val="793A002E"/>
    <w:rsid w:val="7A023A3D"/>
    <w:rsid w:val="7AE10808"/>
    <w:rsid w:val="7B543277"/>
    <w:rsid w:val="7CF92E67"/>
    <w:rsid w:val="7D136216"/>
    <w:rsid w:val="7DD42564"/>
    <w:rsid w:val="7E353EC7"/>
    <w:rsid w:val="7E520A23"/>
    <w:rsid w:val="7F155E8B"/>
    <w:rsid w:val="7F7C51E1"/>
    <w:rsid w:val="7FBF2B32"/>
    <w:rsid w:val="7FF96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name="HTML Keyboard"/>
    <w:lsdException w:qFormat="1" w:uiPriority="0" w:semiHidden="0" w:name="HTML Preformatted"/>
    <w:lsdException w:qFormat="1" w:uiPriority="99" w:name="HTML Sample"/>
    <w:lsdException w:qFormat="1"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6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67"/>
    <w:qFormat/>
    <w:uiPriority w:val="0"/>
    <w:pPr>
      <w:keepNext/>
      <w:keepLines/>
      <w:spacing w:before="260" w:after="260" w:line="416" w:lineRule="auto"/>
      <w:outlineLvl w:val="2"/>
    </w:pPr>
    <w:rPr>
      <w:b/>
      <w:bCs/>
      <w:sz w:val="32"/>
      <w:szCs w:val="32"/>
    </w:rPr>
  </w:style>
  <w:style w:type="paragraph" w:styleId="6">
    <w:name w:val="heading 4"/>
    <w:basedOn w:val="1"/>
    <w:next w:val="1"/>
    <w:link w:val="68"/>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link w:val="69"/>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8">
    <w:name w:val="heading 6"/>
    <w:basedOn w:val="9"/>
    <w:next w:val="1"/>
    <w:link w:val="70"/>
    <w:qFormat/>
    <w:uiPriority w:val="0"/>
    <w:pPr>
      <w:keepNext/>
      <w:keepLines/>
      <w:ind w:firstLine="200" w:firstLineChars="200"/>
      <w:outlineLvl w:val="5"/>
    </w:pPr>
    <w:rPr>
      <w:rFonts w:hAnsi="Arial"/>
    </w:rPr>
  </w:style>
  <w:style w:type="paragraph" w:styleId="10">
    <w:name w:val="heading 7"/>
    <w:basedOn w:val="1"/>
    <w:next w:val="1"/>
    <w:link w:val="71"/>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1">
    <w:name w:val="heading 8"/>
    <w:basedOn w:val="1"/>
    <w:next w:val="1"/>
    <w:link w:val="72"/>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2">
    <w:name w:val="heading 9"/>
    <w:basedOn w:val="1"/>
    <w:next w:val="1"/>
    <w:link w:val="73"/>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4"/>
    <w:qFormat/>
    <w:uiPriority w:val="0"/>
    <w:pPr>
      <w:spacing w:after="120"/>
    </w:pPr>
  </w:style>
  <w:style w:type="paragraph" w:styleId="9">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3">
    <w:name w:val="toc 7"/>
    <w:basedOn w:val="1"/>
    <w:next w:val="1"/>
    <w:qFormat/>
    <w:uiPriority w:val="39"/>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75"/>
    <w:qFormat/>
    <w:uiPriority w:val="0"/>
    <w:pPr>
      <w:shd w:val="clear" w:color="auto" w:fill="000080"/>
    </w:pPr>
  </w:style>
  <w:style w:type="paragraph" w:styleId="16">
    <w:name w:val="annotation text"/>
    <w:basedOn w:val="1"/>
    <w:link w:val="76"/>
    <w:qFormat/>
    <w:uiPriority w:val="0"/>
    <w:pPr>
      <w:jc w:val="left"/>
    </w:pPr>
  </w:style>
  <w:style w:type="paragraph" w:styleId="17">
    <w:name w:val="Body Text 3"/>
    <w:basedOn w:val="1"/>
    <w:link w:val="77"/>
    <w:qFormat/>
    <w:uiPriority w:val="0"/>
    <w:pPr>
      <w:spacing w:after="120"/>
    </w:pPr>
    <w:rPr>
      <w:sz w:val="16"/>
      <w:szCs w:val="16"/>
    </w:rPr>
  </w:style>
  <w:style w:type="paragraph" w:styleId="18">
    <w:name w:val="Body Text Indent"/>
    <w:basedOn w:val="1"/>
    <w:link w:val="78"/>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5"/>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9"/>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80"/>
    <w:qFormat/>
    <w:uiPriority w:val="99"/>
    <w:pPr>
      <w:ind w:left="100" w:leftChars="2500"/>
    </w:pPr>
  </w:style>
  <w:style w:type="paragraph" w:styleId="26">
    <w:name w:val="Body Text Indent 2"/>
    <w:basedOn w:val="1"/>
    <w:link w:val="81"/>
    <w:qFormat/>
    <w:uiPriority w:val="0"/>
    <w:pPr>
      <w:widowControl/>
      <w:spacing w:line="480" w:lineRule="auto"/>
      <w:ind w:firstLine="560"/>
      <w:jc w:val="left"/>
    </w:pPr>
    <w:rPr>
      <w:kern w:val="0"/>
      <w:sz w:val="28"/>
    </w:rPr>
  </w:style>
  <w:style w:type="paragraph" w:styleId="27">
    <w:name w:val="endnote text"/>
    <w:basedOn w:val="1"/>
    <w:link w:val="82"/>
    <w:qFormat/>
    <w:uiPriority w:val="0"/>
    <w:pPr>
      <w:widowControl/>
      <w:snapToGrid w:val="0"/>
      <w:jc w:val="left"/>
    </w:pPr>
    <w:rPr>
      <w:rFonts w:ascii="Arial" w:hAnsi="Arial" w:cs="Arial"/>
      <w:kern w:val="0"/>
      <w:sz w:val="20"/>
      <w:lang w:eastAsia="en-US"/>
    </w:rPr>
  </w:style>
  <w:style w:type="paragraph" w:styleId="28">
    <w:name w:val="Balloon Text"/>
    <w:basedOn w:val="1"/>
    <w:link w:val="83"/>
    <w:qFormat/>
    <w:uiPriority w:val="99"/>
    <w:rPr>
      <w:sz w:val="18"/>
      <w:szCs w:val="18"/>
    </w:rPr>
  </w:style>
  <w:style w:type="paragraph" w:styleId="29">
    <w:name w:val="footer"/>
    <w:basedOn w:val="1"/>
    <w:link w:val="84"/>
    <w:qFormat/>
    <w:uiPriority w:val="99"/>
    <w:pPr>
      <w:tabs>
        <w:tab w:val="center" w:pos="4153"/>
        <w:tab w:val="right" w:pos="8306"/>
      </w:tabs>
      <w:snapToGrid w:val="0"/>
      <w:jc w:val="left"/>
    </w:pPr>
    <w:rPr>
      <w:sz w:val="18"/>
      <w:szCs w:val="18"/>
    </w:rPr>
  </w:style>
  <w:style w:type="paragraph" w:styleId="30">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3"/>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6"/>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6"/>
    <w:qFormat/>
    <w:uiPriority w:val="0"/>
    <w:pPr>
      <w:widowControl/>
      <w:jc w:val="center"/>
    </w:pPr>
    <w:rPr>
      <w:kern w:val="0"/>
      <w:sz w:val="20"/>
      <w:u w:val="single"/>
      <w:lang w:eastAsia="en-US"/>
    </w:rPr>
  </w:style>
  <w:style w:type="paragraph" w:styleId="34">
    <w:name w:val="footnote text"/>
    <w:basedOn w:val="1"/>
    <w:link w:val="87"/>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8"/>
    <w:qFormat/>
    <w:uiPriority w:val="0"/>
    <w:pPr>
      <w:spacing w:line="360" w:lineRule="auto"/>
      <w:ind w:firstLine="280" w:firstLineChars="100"/>
    </w:pPr>
    <w:rPr>
      <w:rFonts w:ascii="宋体" w:hAnsi="宋体"/>
      <w:sz w:val="28"/>
      <w:szCs w:val="28"/>
    </w:rPr>
  </w:style>
  <w:style w:type="paragraph" w:styleId="37">
    <w:name w:val="toc 2"/>
    <w:basedOn w:val="4"/>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9"/>
    <w:qFormat/>
    <w:uiPriority w:val="0"/>
    <w:rPr>
      <w:i/>
      <w:iCs/>
      <w:sz w:val="26"/>
    </w:rPr>
  </w:style>
  <w:style w:type="paragraph" w:styleId="40">
    <w:name w:val="HTML Preformatted"/>
    <w:basedOn w:val="1"/>
    <w:link w:val="9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91"/>
    <w:qFormat/>
    <w:uiPriority w:val="0"/>
    <w:pPr>
      <w:widowControl/>
      <w:jc w:val="center"/>
    </w:pPr>
    <w:rPr>
      <w:kern w:val="0"/>
      <w:sz w:val="20"/>
      <w:u w:val="single"/>
      <w:lang w:eastAsia="en-US"/>
    </w:rPr>
  </w:style>
  <w:style w:type="paragraph" w:styleId="44">
    <w:name w:val="annotation subject"/>
    <w:basedOn w:val="16"/>
    <w:next w:val="16"/>
    <w:link w:val="92"/>
    <w:qFormat/>
    <w:uiPriority w:val="99"/>
    <w:rPr>
      <w:b/>
      <w:bCs/>
    </w:rPr>
  </w:style>
  <w:style w:type="paragraph" w:styleId="45">
    <w:name w:val="Body Text First Indent 2"/>
    <w:basedOn w:val="18"/>
    <w:next w:val="1"/>
    <w:qFormat/>
    <w:uiPriority w:val="0"/>
    <w:pPr>
      <w:spacing w:after="120"/>
      <w:ind w:left="420" w:leftChars="200" w:firstLine="420"/>
    </w:pPr>
    <w:rPr>
      <w:szCs w:val="20"/>
    </w:rPr>
  </w:style>
  <w:style w:type="table" w:styleId="47">
    <w:name w:val="Table Grid"/>
    <w:basedOn w:val="46"/>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Strong"/>
    <w:qFormat/>
    <w:uiPriority w:val="0"/>
    <w:rPr>
      <w:b/>
      <w:bCs/>
    </w:rPr>
  </w:style>
  <w:style w:type="character" w:styleId="50">
    <w:name w:val="endnote reference"/>
    <w:qFormat/>
    <w:uiPriority w:val="0"/>
    <w:rPr>
      <w:vertAlign w:val="superscript"/>
    </w:rPr>
  </w:style>
  <w:style w:type="character" w:styleId="51">
    <w:name w:val="page number"/>
    <w:basedOn w:val="48"/>
    <w:qFormat/>
    <w:uiPriority w:val="0"/>
  </w:style>
  <w:style w:type="character" w:styleId="52">
    <w:name w:val="FollowedHyperlink"/>
    <w:qFormat/>
    <w:uiPriority w:val="99"/>
    <w:rPr>
      <w:color w:val="800080"/>
      <w:u w:val="single"/>
    </w:rPr>
  </w:style>
  <w:style w:type="character" w:styleId="53">
    <w:name w:val="Emphasis"/>
    <w:qFormat/>
    <w:uiPriority w:val="20"/>
    <w:rPr>
      <w:i/>
      <w:iCs/>
    </w:rPr>
  </w:style>
  <w:style w:type="character" w:styleId="54">
    <w:name w:val="HTML Definition"/>
    <w:basedOn w:val="48"/>
    <w:unhideWhenUsed/>
    <w:qFormat/>
    <w:uiPriority w:val="99"/>
  </w:style>
  <w:style w:type="character" w:styleId="55">
    <w:name w:val="HTML Typewriter"/>
    <w:basedOn w:val="48"/>
    <w:semiHidden/>
    <w:unhideWhenUsed/>
    <w:qFormat/>
    <w:uiPriority w:val="99"/>
    <w:rPr>
      <w:rFonts w:hint="default" w:ascii="monospace" w:hAnsi="monospace" w:eastAsia="monospace" w:cs="monospace"/>
      <w:sz w:val="20"/>
    </w:rPr>
  </w:style>
  <w:style w:type="character" w:styleId="56">
    <w:name w:val="HTML Acronym"/>
    <w:basedOn w:val="48"/>
    <w:semiHidden/>
    <w:unhideWhenUsed/>
    <w:qFormat/>
    <w:uiPriority w:val="99"/>
  </w:style>
  <w:style w:type="character" w:styleId="57">
    <w:name w:val="HTML Variable"/>
    <w:basedOn w:val="48"/>
    <w:unhideWhenUsed/>
    <w:qFormat/>
    <w:uiPriority w:val="99"/>
  </w:style>
  <w:style w:type="character" w:styleId="58">
    <w:name w:val="Hyperlink"/>
    <w:qFormat/>
    <w:uiPriority w:val="99"/>
    <w:rPr>
      <w:color w:val="0000FF"/>
      <w:u w:val="single"/>
    </w:rPr>
  </w:style>
  <w:style w:type="character" w:styleId="59">
    <w:name w:val="HTML Code"/>
    <w:basedOn w:val="48"/>
    <w:unhideWhenUsed/>
    <w:qFormat/>
    <w:uiPriority w:val="99"/>
    <w:rPr>
      <w:rFonts w:ascii="monospace" w:hAnsi="monospace" w:eastAsia="monospace" w:cs="monospace"/>
      <w:sz w:val="20"/>
    </w:rPr>
  </w:style>
  <w:style w:type="character" w:styleId="60">
    <w:name w:val="annotation reference"/>
    <w:qFormat/>
    <w:uiPriority w:val="0"/>
    <w:rPr>
      <w:sz w:val="21"/>
      <w:szCs w:val="21"/>
    </w:rPr>
  </w:style>
  <w:style w:type="character" w:styleId="61">
    <w:name w:val="HTML Cite"/>
    <w:basedOn w:val="48"/>
    <w:unhideWhenUsed/>
    <w:qFormat/>
    <w:uiPriority w:val="99"/>
  </w:style>
  <w:style w:type="character" w:styleId="62">
    <w:name w:val="footnote reference"/>
    <w:qFormat/>
    <w:uiPriority w:val="0"/>
    <w:rPr>
      <w:vertAlign w:val="superscript"/>
    </w:rPr>
  </w:style>
  <w:style w:type="character" w:styleId="63">
    <w:name w:val="HTML Keyboard"/>
    <w:basedOn w:val="48"/>
    <w:semiHidden/>
    <w:unhideWhenUsed/>
    <w:qFormat/>
    <w:uiPriority w:val="99"/>
    <w:rPr>
      <w:rFonts w:hint="default" w:ascii="monospace" w:hAnsi="monospace" w:eastAsia="monospace" w:cs="monospace"/>
      <w:sz w:val="20"/>
    </w:rPr>
  </w:style>
  <w:style w:type="character" w:styleId="64">
    <w:name w:val="HTML Sample"/>
    <w:basedOn w:val="48"/>
    <w:semiHidden/>
    <w:unhideWhenUsed/>
    <w:qFormat/>
    <w:uiPriority w:val="99"/>
    <w:rPr>
      <w:rFonts w:hint="default" w:ascii="monospace" w:hAnsi="monospace" w:eastAsia="monospace" w:cs="monospace"/>
    </w:rPr>
  </w:style>
  <w:style w:type="character" w:customStyle="1" w:styleId="65">
    <w:name w:val="标题 1 字符"/>
    <w:basedOn w:val="48"/>
    <w:link w:val="3"/>
    <w:qFormat/>
    <w:uiPriority w:val="9"/>
    <w:rPr>
      <w:rFonts w:ascii="Times New Roman" w:hAnsi="Times New Roman" w:eastAsia="宋体" w:cs="Times New Roman"/>
      <w:b/>
      <w:bCs/>
      <w:kern w:val="44"/>
      <w:sz w:val="44"/>
      <w:szCs w:val="44"/>
    </w:rPr>
  </w:style>
  <w:style w:type="character" w:customStyle="1" w:styleId="66">
    <w:name w:val="标题 2 字符"/>
    <w:basedOn w:val="48"/>
    <w:link w:val="4"/>
    <w:qFormat/>
    <w:uiPriority w:val="9"/>
    <w:rPr>
      <w:rFonts w:ascii="Cambria" w:hAnsi="Cambria" w:eastAsia="宋体" w:cs="Times New Roman"/>
      <w:b/>
      <w:bCs/>
      <w:sz w:val="32"/>
      <w:szCs w:val="32"/>
    </w:rPr>
  </w:style>
  <w:style w:type="character" w:customStyle="1" w:styleId="67">
    <w:name w:val="标题 3 字符"/>
    <w:basedOn w:val="48"/>
    <w:link w:val="5"/>
    <w:qFormat/>
    <w:uiPriority w:val="0"/>
    <w:rPr>
      <w:rFonts w:ascii="Times New Roman" w:hAnsi="Times New Roman" w:eastAsia="宋体" w:cs="Times New Roman"/>
      <w:b/>
      <w:bCs/>
      <w:sz w:val="32"/>
      <w:szCs w:val="32"/>
    </w:rPr>
  </w:style>
  <w:style w:type="character" w:customStyle="1" w:styleId="68">
    <w:name w:val="标题 4 字符"/>
    <w:basedOn w:val="48"/>
    <w:link w:val="6"/>
    <w:qFormat/>
    <w:uiPriority w:val="0"/>
    <w:rPr>
      <w:rFonts w:ascii="宋体" w:hAnsi="宋体" w:eastAsia="宋体" w:cs="宋体"/>
      <w:b/>
      <w:bCs/>
      <w:kern w:val="0"/>
      <w:sz w:val="24"/>
      <w:szCs w:val="24"/>
    </w:rPr>
  </w:style>
  <w:style w:type="character" w:customStyle="1" w:styleId="69">
    <w:name w:val="标题 5 字符"/>
    <w:basedOn w:val="48"/>
    <w:link w:val="7"/>
    <w:qFormat/>
    <w:uiPriority w:val="0"/>
    <w:rPr>
      <w:rFonts w:ascii="宋体" w:hAnsi="宋体" w:eastAsia="宋体" w:cs="宋体"/>
      <w:b/>
      <w:bCs/>
      <w:kern w:val="0"/>
      <w:sz w:val="20"/>
      <w:szCs w:val="20"/>
    </w:rPr>
  </w:style>
  <w:style w:type="character" w:customStyle="1" w:styleId="70">
    <w:name w:val="标题 6 字符"/>
    <w:basedOn w:val="48"/>
    <w:link w:val="8"/>
    <w:qFormat/>
    <w:uiPriority w:val="0"/>
    <w:rPr>
      <w:rFonts w:ascii="Times New Roman" w:hAnsi="Arial" w:eastAsia="仿宋_GB2312" w:cs="Times New Roman"/>
      <w:kern w:val="0"/>
      <w:sz w:val="30"/>
      <w:szCs w:val="20"/>
    </w:rPr>
  </w:style>
  <w:style w:type="character" w:customStyle="1" w:styleId="71">
    <w:name w:val="标题 7 字符"/>
    <w:basedOn w:val="48"/>
    <w:link w:val="10"/>
    <w:qFormat/>
    <w:uiPriority w:val="0"/>
    <w:rPr>
      <w:rFonts w:ascii="Times New Roman" w:hAnsi="Times New Roman" w:eastAsia="仿宋_GB2312" w:cs="Times New Roman"/>
      <w:kern w:val="0"/>
      <w:sz w:val="30"/>
      <w:szCs w:val="20"/>
    </w:rPr>
  </w:style>
  <w:style w:type="character" w:customStyle="1" w:styleId="72">
    <w:name w:val="标题 8 字符"/>
    <w:basedOn w:val="48"/>
    <w:link w:val="11"/>
    <w:qFormat/>
    <w:uiPriority w:val="0"/>
    <w:rPr>
      <w:rFonts w:ascii="Times New Roman" w:hAnsi="Arial" w:eastAsia="仿宋_GB2312" w:cs="Times New Roman"/>
      <w:kern w:val="0"/>
      <w:sz w:val="30"/>
      <w:szCs w:val="20"/>
    </w:rPr>
  </w:style>
  <w:style w:type="character" w:customStyle="1" w:styleId="73">
    <w:name w:val="标题 9 字符"/>
    <w:basedOn w:val="48"/>
    <w:link w:val="12"/>
    <w:qFormat/>
    <w:uiPriority w:val="0"/>
    <w:rPr>
      <w:rFonts w:ascii="Times New Roman" w:hAnsi="Times New Roman" w:eastAsia="仿宋_GB2312" w:cs="Times New Roman"/>
      <w:kern w:val="0"/>
      <w:sz w:val="30"/>
      <w:szCs w:val="20"/>
    </w:rPr>
  </w:style>
  <w:style w:type="character" w:customStyle="1" w:styleId="74">
    <w:name w:val="正文文本 字符"/>
    <w:basedOn w:val="48"/>
    <w:link w:val="2"/>
    <w:qFormat/>
    <w:uiPriority w:val="0"/>
    <w:rPr>
      <w:rFonts w:ascii="Times New Roman" w:hAnsi="Times New Roman" w:eastAsia="宋体" w:cs="Times New Roman"/>
      <w:szCs w:val="24"/>
    </w:rPr>
  </w:style>
  <w:style w:type="character" w:customStyle="1" w:styleId="75">
    <w:name w:val="文档结构图 字符"/>
    <w:basedOn w:val="48"/>
    <w:link w:val="15"/>
    <w:qFormat/>
    <w:uiPriority w:val="0"/>
    <w:rPr>
      <w:rFonts w:ascii="Times New Roman" w:hAnsi="Times New Roman" w:eastAsia="宋体" w:cs="Times New Roman"/>
      <w:szCs w:val="24"/>
      <w:shd w:val="clear" w:color="auto" w:fill="000080"/>
    </w:rPr>
  </w:style>
  <w:style w:type="character" w:customStyle="1" w:styleId="76">
    <w:name w:val="批注文字 字符"/>
    <w:basedOn w:val="48"/>
    <w:link w:val="16"/>
    <w:qFormat/>
    <w:uiPriority w:val="0"/>
    <w:rPr>
      <w:rFonts w:ascii="Times New Roman" w:hAnsi="Times New Roman" w:eastAsia="宋体" w:cs="Times New Roman"/>
      <w:szCs w:val="24"/>
    </w:rPr>
  </w:style>
  <w:style w:type="character" w:customStyle="1" w:styleId="77">
    <w:name w:val="正文文本 3 字符"/>
    <w:basedOn w:val="48"/>
    <w:link w:val="17"/>
    <w:qFormat/>
    <w:uiPriority w:val="0"/>
    <w:rPr>
      <w:rFonts w:ascii="Times New Roman" w:hAnsi="Times New Roman" w:eastAsia="宋体" w:cs="Times New Roman"/>
      <w:sz w:val="16"/>
      <w:szCs w:val="16"/>
    </w:rPr>
  </w:style>
  <w:style w:type="character" w:customStyle="1" w:styleId="78">
    <w:name w:val="正文文本缩进 字符"/>
    <w:basedOn w:val="48"/>
    <w:link w:val="18"/>
    <w:qFormat/>
    <w:uiPriority w:val="0"/>
    <w:rPr>
      <w:rFonts w:ascii="Times New Roman" w:hAnsi="Times New Roman" w:eastAsia="宋体" w:cs="Times New Roman"/>
      <w:szCs w:val="24"/>
    </w:rPr>
  </w:style>
  <w:style w:type="character" w:customStyle="1" w:styleId="79">
    <w:name w:val="纯文本 字符"/>
    <w:basedOn w:val="48"/>
    <w:link w:val="23"/>
    <w:qFormat/>
    <w:uiPriority w:val="0"/>
    <w:rPr>
      <w:rFonts w:ascii="宋体" w:hAnsi="Courier New" w:eastAsia="宋体" w:cs="Courier New"/>
      <w:szCs w:val="21"/>
    </w:rPr>
  </w:style>
  <w:style w:type="character" w:customStyle="1" w:styleId="80">
    <w:name w:val="日期 字符"/>
    <w:basedOn w:val="48"/>
    <w:link w:val="25"/>
    <w:qFormat/>
    <w:uiPriority w:val="99"/>
    <w:rPr>
      <w:rFonts w:ascii="Times New Roman" w:hAnsi="Times New Roman" w:eastAsia="宋体" w:cs="Times New Roman"/>
      <w:szCs w:val="24"/>
    </w:rPr>
  </w:style>
  <w:style w:type="character" w:customStyle="1" w:styleId="81">
    <w:name w:val="正文文本缩进 2 字符"/>
    <w:basedOn w:val="48"/>
    <w:link w:val="26"/>
    <w:qFormat/>
    <w:uiPriority w:val="0"/>
    <w:rPr>
      <w:rFonts w:ascii="Times New Roman" w:hAnsi="Times New Roman" w:eastAsia="宋体" w:cs="Times New Roman"/>
      <w:kern w:val="0"/>
      <w:sz w:val="28"/>
      <w:szCs w:val="24"/>
    </w:rPr>
  </w:style>
  <w:style w:type="character" w:customStyle="1" w:styleId="82">
    <w:name w:val="尾注文本 字符"/>
    <w:basedOn w:val="48"/>
    <w:link w:val="27"/>
    <w:qFormat/>
    <w:uiPriority w:val="0"/>
    <w:rPr>
      <w:rFonts w:ascii="Arial" w:hAnsi="Arial" w:eastAsia="宋体" w:cs="Arial"/>
      <w:kern w:val="0"/>
      <w:sz w:val="20"/>
      <w:szCs w:val="24"/>
      <w:lang w:eastAsia="en-US"/>
    </w:rPr>
  </w:style>
  <w:style w:type="character" w:customStyle="1" w:styleId="83">
    <w:name w:val="批注框文本 字符"/>
    <w:basedOn w:val="48"/>
    <w:link w:val="28"/>
    <w:qFormat/>
    <w:uiPriority w:val="99"/>
    <w:rPr>
      <w:rFonts w:ascii="Times New Roman" w:hAnsi="Times New Roman" w:eastAsia="宋体" w:cs="Times New Roman"/>
      <w:sz w:val="18"/>
      <w:szCs w:val="18"/>
    </w:rPr>
  </w:style>
  <w:style w:type="character" w:customStyle="1" w:styleId="84">
    <w:name w:val="页脚 字符"/>
    <w:basedOn w:val="48"/>
    <w:link w:val="29"/>
    <w:qFormat/>
    <w:uiPriority w:val="99"/>
    <w:rPr>
      <w:rFonts w:ascii="Times New Roman" w:hAnsi="Times New Roman" w:eastAsia="宋体" w:cs="Times New Roman"/>
      <w:sz w:val="18"/>
      <w:szCs w:val="18"/>
    </w:rPr>
  </w:style>
  <w:style w:type="character" w:customStyle="1" w:styleId="85">
    <w:name w:val="页眉 字符"/>
    <w:basedOn w:val="48"/>
    <w:link w:val="30"/>
    <w:qFormat/>
    <w:uiPriority w:val="99"/>
    <w:rPr>
      <w:rFonts w:ascii="Times New Roman" w:hAnsi="Times New Roman" w:eastAsia="宋体" w:cs="Times New Roman"/>
      <w:sz w:val="18"/>
      <w:szCs w:val="18"/>
    </w:rPr>
  </w:style>
  <w:style w:type="character" w:customStyle="1" w:styleId="86">
    <w:name w:val="副标题 字符"/>
    <w:basedOn w:val="48"/>
    <w:link w:val="33"/>
    <w:qFormat/>
    <w:uiPriority w:val="0"/>
    <w:rPr>
      <w:rFonts w:ascii="Times New Roman" w:hAnsi="Times New Roman" w:eastAsia="宋体" w:cs="Times New Roman"/>
      <w:kern w:val="0"/>
      <w:sz w:val="20"/>
      <w:szCs w:val="24"/>
      <w:u w:val="single"/>
      <w:lang w:eastAsia="en-US"/>
    </w:rPr>
  </w:style>
  <w:style w:type="character" w:customStyle="1" w:styleId="87">
    <w:name w:val="脚注文本 字符"/>
    <w:basedOn w:val="48"/>
    <w:link w:val="34"/>
    <w:qFormat/>
    <w:uiPriority w:val="0"/>
    <w:rPr>
      <w:rFonts w:ascii="Arial" w:hAnsi="Arial" w:eastAsia="宋体" w:cs="Arial"/>
      <w:kern w:val="0"/>
      <w:sz w:val="18"/>
      <w:szCs w:val="18"/>
      <w:lang w:eastAsia="en-US"/>
    </w:rPr>
  </w:style>
  <w:style w:type="character" w:customStyle="1" w:styleId="88">
    <w:name w:val="正文文本缩进 3 字符"/>
    <w:basedOn w:val="48"/>
    <w:link w:val="36"/>
    <w:qFormat/>
    <w:uiPriority w:val="0"/>
    <w:rPr>
      <w:rFonts w:ascii="宋体" w:hAnsi="宋体" w:eastAsia="宋体" w:cs="Times New Roman"/>
      <w:sz w:val="28"/>
      <w:szCs w:val="28"/>
    </w:rPr>
  </w:style>
  <w:style w:type="character" w:customStyle="1" w:styleId="89">
    <w:name w:val="正文文本 2 字符"/>
    <w:basedOn w:val="48"/>
    <w:link w:val="39"/>
    <w:qFormat/>
    <w:uiPriority w:val="0"/>
    <w:rPr>
      <w:rFonts w:ascii="Times New Roman" w:hAnsi="Times New Roman" w:eastAsia="宋体" w:cs="Times New Roman"/>
      <w:i/>
      <w:iCs/>
      <w:sz w:val="26"/>
      <w:szCs w:val="24"/>
    </w:rPr>
  </w:style>
  <w:style w:type="character" w:customStyle="1" w:styleId="90">
    <w:name w:val="HTML 预设格式 字符"/>
    <w:basedOn w:val="48"/>
    <w:link w:val="40"/>
    <w:qFormat/>
    <w:uiPriority w:val="0"/>
    <w:rPr>
      <w:rFonts w:ascii="宋体" w:hAnsi="宋体" w:eastAsia="宋体" w:cs="宋体"/>
      <w:color w:val="000000"/>
      <w:kern w:val="0"/>
      <w:sz w:val="24"/>
      <w:szCs w:val="24"/>
    </w:rPr>
  </w:style>
  <w:style w:type="character" w:customStyle="1" w:styleId="91">
    <w:name w:val="标题 字符"/>
    <w:basedOn w:val="48"/>
    <w:link w:val="43"/>
    <w:qFormat/>
    <w:uiPriority w:val="0"/>
    <w:rPr>
      <w:rFonts w:ascii="Times New Roman" w:hAnsi="Times New Roman" w:eastAsia="宋体" w:cs="Times New Roman"/>
      <w:kern w:val="0"/>
      <w:sz w:val="20"/>
      <w:szCs w:val="24"/>
      <w:u w:val="single"/>
      <w:lang w:eastAsia="en-US"/>
    </w:rPr>
  </w:style>
  <w:style w:type="character" w:customStyle="1" w:styleId="92">
    <w:name w:val="批注主题 字符"/>
    <w:basedOn w:val="76"/>
    <w:link w:val="44"/>
    <w:qFormat/>
    <w:uiPriority w:val="99"/>
    <w:rPr>
      <w:rFonts w:ascii="Times New Roman" w:hAnsi="Times New Roman" w:eastAsia="宋体" w:cs="Times New Roman"/>
      <w:b/>
      <w:bCs/>
      <w:szCs w:val="24"/>
    </w:rPr>
  </w:style>
  <w:style w:type="paragraph" w:customStyle="1" w:styleId="93">
    <w:name w:val="列出段落1"/>
    <w:basedOn w:val="1"/>
    <w:qFormat/>
    <w:uiPriority w:val="99"/>
    <w:pPr>
      <w:ind w:firstLine="420" w:firstLineChars="200"/>
    </w:pPr>
    <w:rPr>
      <w:sz w:val="28"/>
      <w:szCs w:val="28"/>
    </w:rPr>
  </w:style>
  <w:style w:type="paragraph" w:customStyle="1" w:styleId="94">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5">
    <w:name w:val="Char Char Char Char Char Char Char Char Char Char Char Char Char Char Char Char"/>
    <w:basedOn w:val="15"/>
    <w:qFormat/>
    <w:uiPriority w:val="0"/>
    <w:pPr>
      <w:spacing w:line="360" w:lineRule="auto"/>
      <w:ind w:firstLine="200" w:firstLineChars="200"/>
    </w:pPr>
    <w:rPr>
      <w:rFonts w:ascii="Tahoma" w:hAnsi="Tahoma"/>
      <w:sz w:val="24"/>
    </w:rPr>
  </w:style>
  <w:style w:type="paragraph" w:customStyle="1" w:styleId="96">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97">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8">
    <w:name w:val="1 Char"/>
    <w:basedOn w:val="1"/>
    <w:qFormat/>
    <w:uiPriority w:val="0"/>
    <w:pPr>
      <w:widowControl/>
      <w:spacing w:after="160" w:line="240" w:lineRule="exact"/>
      <w:jc w:val="left"/>
    </w:pPr>
    <w:rPr>
      <w:rFonts w:ascii="Calibri" w:hAnsi="Calibri"/>
      <w:szCs w:val="20"/>
    </w:rPr>
  </w:style>
  <w:style w:type="paragraph" w:customStyle="1" w:styleId="99">
    <w:name w:val="列表段落1"/>
    <w:basedOn w:val="1"/>
    <w:qFormat/>
    <w:uiPriority w:val="34"/>
    <w:pPr>
      <w:ind w:firstLine="420" w:firstLineChars="200"/>
    </w:pPr>
    <w:rPr>
      <w:rFonts w:ascii="Calibri" w:hAnsi="Calibri"/>
    </w:rPr>
  </w:style>
  <w:style w:type="paragraph" w:customStyle="1" w:styleId="100">
    <w:name w:val="Char Char Char Char Char Char Char Char Char Char"/>
    <w:basedOn w:val="15"/>
    <w:qFormat/>
    <w:uiPriority w:val="0"/>
    <w:pPr>
      <w:spacing w:line="360" w:lineRule="auto"/>
      <w:ind w:firstLine="200" w:firstLineChars="200"/>
    </w:pPr>
    <w:rPr>
      <w:rFonts w:ascii="Tahoma" w:hAnsi="Tahoma"/>
      <w:sz w:val="24"/>
    </w:rPr>
  </w:style>
  <w:style w:type="paragraph" w:customStyle="1" w:styleId="101">
    <w:name w:val="样式 标题 3 + (中文) 黑体 小四 非加粗 段前: 7.8 磅 段后: 0 磅 行距: 固定值 20 磅"/>
    <w:basedOn w:val="5"/>
    <w:next w:val="1"/>
    <w:qFormat/>
    <w:uiPriority w:val="0"/>
    <w:pPr>
      <w:spacing w:before="0" w:after="0" w:line="400" w:lineRule="exact"/>
    </w:pPr>
    <w:rPr>
      <w:rFonts w:eastAsia="黑体" w:cs="宋体"/>
      <w:b w:val="0"/>
      <w:bCs w:val="0"/>
      <w:sz w:val="24"/>
      <w:szCs w:val="20"/>
    </w:rPr>
  </w:style>
  <w:style w:type="paragraph" w:customStyle="1" w:styleId="102">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03">
    <w:name w:val="TOC 标题2"/>
    <w:basedOn w:val="3"/>
    <w:next w:val="1"/>
    <w:unhideWhenUsed/>
    <w:qFormat/>
    <w:uiPriority w:val="0"/>
    <w:pPr>
      <w:outlineLvl w:val="9"/>
    </w:pPr>
    <w:rPr>
      <w:rFonts w:ascii="Calibri" w:hAnsi="Calibri"/>
    </w:rPr>
  </w:style>
  <w:style w:type="paragraph" w:customStyle="1" w:styleId="104">
    <w:name w:val="样式1"/>
    <w:basedOn w:val="1"/>
    <w:next w:val="6"/>
    <w:qFormat/>
    <w:uiPriority w:val="0"/>
    <w:pPr>
      <w:spacing w:line="360" w:lineRule="auto"/>
      <w:ind w:firstLine="420" w:firstLineChars="200"/>
    </w:pPr>
    <w:rPr>
      <w:rFonts w:ascii="宋体" w:hAnsi="宋体"/>
      <w:szCs w:val="21"/>
    </w:rPr>
  </w:style>
  <w:style w:type="paragraph" w:customStyle="1" w:styleId="105">
    <w:name w:val="列出段落111"/>
    <w:basedOn w:val="1"/>
    <w:qFormat/>
    <w:uiPriority w:val="0"/>
    <w:pPr>
      <w:ind w:firstLine="420" w:firstLineChars="200"/>
    </w:pPr>
    <w:rPr>
      <w:sz w:val="28"/>
      <w:szCs w:val="28"/>
    </w:rPr>
  </w:style>
  <w:style w:type="paragraph" w:customStyle="1" w:styleId="106">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7">
    <w:name w:val="pa-27"/>
    <w:basedOn w:val="1"/>
    <w:qFormat/>
    <w:uiPriority w:val="0"/>
    <w:pPr>
      <w:widowControl/>
      <w:spacing w:line="360" w:lineRule="atLeast"/>
      <w:ind w:firstLine="420"/>
    </w:pPr>
    <w:rPr>
      <w:rFonts w:ascii="宋体" w:hAnsi="宋体" w:cs="宋体"/>
      <w:kern w:val="0"/>
      <w:sz w:val="24"/>
    </w:rPr>
  </w:style>
  <w:style w:type="paragraph" w:customStyle="1" w:styleId="108">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10">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11">
    <w:name w:val="Char Char Char Char"/>
    <w:basedOn w:val="15"/>
    <w:qFormat/>
    <w:uiPriority w:val="0"/>
    <w:pPr>
      <w:spacing w:line="360" w:lineRule="auto"/>
      <w:ind w:firstLine="200" w:firstLineChars="200"/>
    </w:pPr>
    <w:rPr>
      <w:rFonts w:ascii="Tahoma" w:hAnsi="Tahoma"/>
      <w:sz w:val="24"/>
    </w:rPr>
  </w:style>
  <w:style w:type="paragraph" w:customStyle="1" w:styleId="112">
    <w:name w:val="表格内容"/>
    <w:basedOn w:val="1"/>
    <w:qFormat/>
    <w:uiPriority w:val="0"/>
    <w:pPr>
      <w:suppressLineNumbers/>
      <w:suppressAutoHyphens/>
    </w:pPr>
  </w:style>
  <w:style w:type="paragraph" w:customStyle="1" w:styleId="113">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4">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5">
    <w:name w:val="_Style 105"/>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6">
    <w:name w:val="明显引用1"/>
    <w:basedOn w:val="1"/>
    <w:next w:val="1"/>
    <w:link w:val="117"/>
    <w:qFormat/>
    <w:uiPriority w:val="0"/>
    <w:pPr>
      <w:pBdr>
        <w:bottom w:val="single" w:color="4F81BD" w:sz="4" w:space="4"/>
      </w:pBdr>
      <w:spacing w:before="200" w:after="280"/>
      <w:ind w:left="936" w:right="936"/>
    </w:pPr>
    <w:rPr>
      <w:b/>
      <w:bCs/>
      <w:i/>
      <w:iCs/>
      <w:color w:val="4F81BD"/>
      <w:szCs w:val="22"/>
    </w:rPr>
  </w:style>
  <w:style w:type="character" w:customStyle="1" w:styleId="117">
    <w:name w:val="明显引用 Char4"/>
    <w:basedOn w:val="48"/>
    <w:link w:val="116"/>
    <w:qFormat/>
    <w:uiPriority w:val="0"/>
    <w:rPr>
      <w:rFonts w:ascii="Times New Roman" w:hAnsi="Times New Roman" w:eastAsia="宋体" w:cs="Times New Roman"/>
      <w:b/>
      <w:bCs/>
      <w:i/>
      <w:iCs/>
      <w:color w:val="4F81BD"/>
    </w:rPr>
  </w:style>
  <w:style w:type="paragraph" w:customStyle="1" w:styleId="118">
    <w:name w:val="表体"/>
    <w:basedOn w:val="1"/>
    <w:next w:val="1"/>
    <w:qFormat/>
    <w:uiPriority w:val="0"/>
    <w:pPr>
      <w:spacing w:line="0" w:lineRule="atLeast"/>
    </w:pPr>
    <w:rPr>
      <w:rFonts w:ascii="Calibri" w:hAnsi="Calibri"/>
      <w:b/>
      <w:snapToGrid w:val="0"/>
      <w:szCs w:val="20"/>
    </w:rPr>
  </w:style>
  <w:style w:type="paragraph" w:customStyle="1" w:styleId="119">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20">
    <w:name w:val="pa-34"/>
    <w:basedOn w:val="1"/>
    <w:qFormat/>
    <w:uiPriority w:val="0"/>
    <w:pPr>
      <w:widowControl/>
      <w:spacing w:line="360" w:lineRule="atLeast"/>
      <w:ind w:firstLine="420"/>
      <w:jc w:val="left"/>
    </w:pPr>
    <w:rPr>
      <w:rFonts w:ascii="宋体" w:hAnsi="宋体" w:cs="宋体"/>
      <w:kern w:val="0"/>
      <w:sz w:val="24"/>
    </w:rPr>
  </w:style>
  <w:style w:type="paragraph" w:customStyle="1" w:styleId="121">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2">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23">
    <w:name w:val="p16"/>
    <w:basedOn w:val="1"/>
    <w:qFormat/>
    <w:uiPriority w:val="0"/>
    <w:pPr>
      <w:widowControl/>
    </w:pPr>
    <w:rPr>
      <w:rFonts w:ascii="Calibri" w:hAnsi="Calibri" w:cs="宋体"/>
      <w:kern w:val="0"/>
      <w:szCs w:val="21"/>
    </w:rPr>
  </w:style>
  <w:style w:type="paragraph" w:customStyle="1" w:styleId="12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5">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7">
    <w:name w:val="标题4"/>
    <w:basedOn w:val="4"/>
    <w:next w:val="20"/>
    <w:link w:val="292"/>
    <w:qFormat/>
    <w:uiPriority w:val="0"/>
    <w:pPr>
      <w:spacing w:line="413" w:lineRule="auto"/>
    </w:pPr>
    <w:rPr>
      <w:rFonts w:ascii="Arial" w:hAnsi="Arial"/>
      <w:kern w:val="0"/>
      <w:sz w:val="24"/>
    </w:rPr>
  </w:style>
  <w:style w:type="paragraph" w:customStyle="1" w:styleId="128">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31">
    <w:name w:val="WW-表格内容"/>
    <w:basedOn w:val="1"/>
    <w:qFormat/>
    <w:uiPriority w:val="0"/>
    <w:pPr>
      <w:suppressLineNumbers/>
      <w:suppressAutoHyphens/>
    </w:pPr>
  </w:style>
  <w:style w:type="paragraph" w:customStyle="1" w:styleId="132">
    <w:name w:val="Char"/>
    <w:basedOn w:val="1"/>
    <w:qFormat/>
    <w:uiPriority w:val="0"/>
  </w:style>
  <w:style w:type="paragraph" w:customStyle="1" w:styleId="133">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4">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5">
    <w:name w:val="样式15"/>
    <w:basedOn w:val="5"/>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6">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7">
    <w:name w:val="Char9 Char Char Char Char Char Char"/>
    <w:basedOn w:val="15"/>
    <w:qFormat/>
    <w:uiPriority w:val="0"/>
    <w:pPr>
      <w:spacing w:line="360" w:lineRule="auto"/>
      <w:ind w:firstLine="200" w:firstLineChars="200"/>
    </w:pPr>
    <w:rPr>
      <w:rFonts w:ascii="Tahoma" w:hAnsi="Tahoma"/>
      <w:sz w:val="24"/>
    </w:rPr>
  </w:style>
  <w:style w:type="paragraph" w:customStyle="1" w:styleId="13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9">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40">
    <w:name w:val="p15"/>
    <w:basedOn w:val="1"/>
    <w:qFormat/>
    <w:uiPriority w:val="0"/>
    <w:pPr>
      <w:widowControl/>
      <w:spacing w:after="120"/>
    </w:pPr>
    <w:rPr>
      <w:kern w:val="0"/>
      <w:szCs w:val="21"/>
    </w:rPr>
  </w:style>
  <w:style w:type="paragraph" w:customStyle="1" w:styleId="141">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42">
    <w:name w:val="正  文"/>
    <w:basedOn w:val="1"/>
    <w:qFormat/>
    <w:uiPriority w:val="0"/>
    <w:pPr>
      <w:spacing w:line="360" w:lineRule="auto"/>
      <w:ind w:firstLine="200" w:firstLineChars="200"/>
    </w:pPr>
    <w:rPr>
      <w:rFonts w:ascii="宋体" w:hAnsi="Calibri"/>
      <w:sz w:val="24"/>
    </w:rPr>
  </w:style>
  <w:style w:type="paragraph" w:customStyle="1" w:styleId="143">
    <w:name w:val="列出段落11"/>
    <w:basedOn w:val="1"/>
    <w:qFormat/>
    <w:uiPriority w:val="0"/>
    <w:pPr>
      <w:ind w:firstLine="420" w:firstLineChars="200"/>
    </w:pPr>
    <w:rPr>
      <w:sz w:val="28"/>
      <w:szCs w:val="28"/>
    </w:rPr>
  </w:style>
  <w:style w:type="paragraph" w:customStyle="1" w:styleId="14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5">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46">
    <w:name w:val="_Style 96"/>
    <w:semiHidden/>
    <w:qFormat/>
    <w:uiPriority w:val="99"/>
    <w:rPr>
      <w:rFonts w:ascii="Calibri" w:hAnsi="Calibri" w:eastAsia="宋体" w:cs="Times New Roman"/>
      <w:kern w:val="2"/>
      <w:sz w:val="21"/>
      <w:szCs w:val="24"/>
      <w:lang w:val="en-US" w:eastAsia="zh-CN" w:bidi="ar-SA"/>
    </w:rPr>
  </w:style>
  <w:style w:type="paragraph" w:customStyle="1" w:styleId="147">
    <w:name w:val="表格文字"/>
    <w:basedOn w:val="1"/>
    <w:qFormat/>
    <w:uiPriority w:val="0"/>
    <w:pPr>
      <w:adjustRightInd w:val="0"/>
      <w:spacing w:line="420" w:lineRule="atLeast"/>
      <w:jc w:val="left"/>
      <w:textAlignment w:val="baseline"/>
    </w:pPr>
    <w:rPr>
      <w:kern w:val="0"/>
      <w:szCs w:val="20"/>
    </w:rPr>
  </w:style>
  <w:style w:type="paragraph" w:customStyle="1" w:styleId="148">
    <w:name w:val="表格"/>
    <w:basedOn w:val="1"/>
    <w:qFormat/>
    <w:uiPriority w:val="0"/>
    <w:pPr>
      <w:jc w:val="center"/>
      <w:textAlignment w:val="center"/>
    </w:pPr>
    <w:rPr>
      <w:rFonts w:ascii="华文细黑" w:hAnsi="华文细黑"/>
      <w:kern w:val="0"/>
      <w:szCs w:val="20"/>
    </w:rPr>
  </w:style>
  <w:style w:type="paragraph" w:customStyle="1" w:styleId="149">
    <w:name w:val="Char1"/>
    <w:basedOn w:val="1"/>
    <w:qFormat/>
    <w:uiPriority w:val="0"/>
  </w:style>
  <w:style w:type="paragraph" w:customStyle="1" w:styleId="150">
    <w:name w:val="TOC 标题1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1">
    <w:name w:val="引用2"/>
    <w:basedOn w:val="1"/>
    <w:next w:val="1"/>
    <w:link w:val="254"/>
    <w:qFormat/>
    <w:uiPriority w:val="0"/>
    <w:rPr>
      <w:i/>
      <w:iCs/>
      <w:color w:val="000000"/>
    </w:rPr>
  </w:style>
  <w:style w:type="paragraph" w:customStyle="1" w:styleId="15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53">
    <w:name w:val="引用1"/>
    <w:basedOn w:val="1"/>
    <w:next w:val="1"/>
    <w:link w:val="154"/>
    <w:qFormat/>
    <w:uiPriority w:val="0"/>
    <w:rPr>
      <w:i/>
      <w:iCs/>
      <w:color w:val="000000"/>
      <w:szCs w:val="22"/>
    </w:rPr>
  </w:style>
  <w:style w:type="character" w:customStyle="1" w:styleId="154">
    <w:name w:val="引用 Char4"/>
    <w:basedOn w:val="48"/>
    <w:link w:val="153"/>
    <w:qFormat/>
    <w:uiPriority w:val="0"/>
    <w:rPr>
      <w:rFonts w:ascii="Times New Roman" w:hAnsi="Times New Roman" w:eastAsia="宋体" w:cs="Times New Roman"/>
      <w:i/>
      <w:iCs/>
      <w:color w:val="000000"/>
    </w:rPr>
  </w:style>
  <w:style w:type="paragraph" w:customStyle="1" w:styleId="155">
    <w:name w:val="修订1"/>
    <w:qFormat/>
    <w:uiPriority w:val="99"/>
    <w:rPr>
      <w:rFonts w:ascii="Times New Roman" w:hAnsi="Times New Roman" w:eastAsia="宋体" w:cs="Times New Roman"/>
      <w:kern w:val="2"/>
      <w:sz w:val="21"/>
      <w:szCs w:val="24"/>
      <w:lang w:val="en-US" w:eastAsia="zh-CN" w:bidi="ar-SA"/>
    </w:rPr>
  </w:style>
  <w:style w:type="paragraph" w:customStyle="1" w:styleId="1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7">
    <w:name w:val="Char2"/>
    <w:basedOn w:val="1"/>
    <w:qFormat/>
    <w:uiPriority w:val="0"/>
    <w:rPr>
      <w:rFonts w:ascii="Calibri" w:hAnsi="Calibri"/>
    </w:rPr>
  </w:style>
  <w:style w:type="paragraph" w:customStyle="1" w:styleId="158">
    <w:name w:val="标题5"/>
    <w:basedOn w:val="5"/>
    <w:link w:val="291"/>
    <w:qFormat/>
    <w:uiPriority w:val="0"/>
    <w:pPr>
      <w:spacing w:line="413" w:lineRule="auto"/>
    </w:pPr>
    <w:rPr>
      <w:rFonts w:ascii="Arial" w:hAnsi="Arial"/>
      <w:kern w:val="0"/>
      <w:sz w:val="24"/>
    </w:rPr>
  </w:style>
  <w:style w:type="paragraph" w:customStyle="1" w:styleId="159">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61">
    <w:name w:val="表格标题"/>
    <w:basedOn w:val="112"/>
    <w:qFormat/>
    <w:uiPriority w:val="0"/>
  </w:style>
  <w:style w:type="paragraph" w:customStyle="1" w:styleId="162">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63">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4">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7">
    <w:name w:val="WW-表格标题"/>
    <w:basedOn w:val="131"/>
    <w:qFormat/>
    <w:uiPriority w:val="0"/>
  </w:style>
  <w:style w:type="paragraph" w:customStyle="1" w:styleId="168">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9">
    <w:name w:val="明显引用12"/>
    <w:basedOn w:val="1"/>
    <w:next w:val="1"/>
    <w:link w:val="260"/>
    <w:qFormat/>
    <w:uiPriority w:val="30"/>
    <w:pPr>
      <w:pBdr>
        <w:bottom w:val="single" w:color="4F81BD" w:sz="4" w:space="4"/>
      </w:pBdr>
      <w:spacing w:before="200" w:after="280"/>
      <w:ind w:left="936" w:right="936"/>
    </w:pPr>
    <w:rPr>
      <w:b/>
      <w:bCs/>
      <w:i/>
      <w:iCs/>
      <w:color w:val="4F81BD"/>
      <w:szCs w:val="20"/>
    </w:rPr>
  </w:style>
  <w:style w:type="paragraph" w:customStyle="1" w:styleId="170">
    <w:name w:val="标准样式1"/>
    <w:basedOn w:val="1"/>
    <w:qFormat/>
    <w:uiPriority w:val="0"/>
    <w:pPr>
      <w:spacing w:line="600" w:lineRule="exact"/>
      <w:ind w:firstLine="567"/>
    </w:pPr>
    <w:rPr>
      <w:rFonts w:ascii="Calibri" w:hAnsi="Calibri"/>
      <w:sz w:val="28"/>
    </w:rPr>
  </w:style>
  <w:style w:type="paragraph" w:customStyle="1" w:styleId="171">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72">
    <w:name w:val="Char Char1 Char Char"/>
    <w:basedOn w:val="15"/>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73">
    <w:name w:val="引用11"/>
    <w:basedOn w:val="1"/>
    <w:next w:val="1"/>
    <w:link w:val="273"/>
    <w:qFormat/>
    <w:uiPriority w:val="29"/>
    <w:rPr>
      <w:i/>
      <w:iCs/>
      <w:color w:val="000000"/>
      <w:szCs w:val="20"/>
    </w:rPr>
  </w:style>
  <w:style w:type="paragraph" w:customStyle="1" w:styleId="174">
    <w:name w:val="_Style 87"/>
    <w:basedOn w:val="1"/>
    <w:qFormat/>
    <w:uiPriority w:val="99"/>
    <w:pPr>
      <w:ind w:firstLine="420" w:firstLineChars="200"/>
    </w:pPr>
    <w:rPr>
      <w:rFonts w:ascii="Calibri" w:hAnsi="Calibri"/>
      <w:sz w:val="28"/>
      <w:szCs w:val="28"/>
    </w:rPr>
  </w:style>
  <w:style w:type="paragraph" w:customStyle="1" w:styleId="175">
    <w:name w:val="自定样式1"/>
    <w:basedOn w:val="1"/>
    <w:qFormat/>
    <w:uiPriority w:val="0"/>
    <w:pPr>
      <w:suppressAutoHyphens/>
      <w:jc w:val="center"/>
    </w:pPr>
    <w:rPr>
      <w:rFonts w:ascii="宋体" w:hAnsi="宋体"/>
      <w:color w:val="000000"/>
      <w:sz w:val="18"/>
    </w:rPr>
  </w:style>
  <w:style w:type="paragraph" w:customStyle="1" w:styleId="17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7">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cs="宋体"/>
      <w:b w:val="0"/>
      <w:bCs w:val="0"/>
      <w:sz w:val="28"/>
      <w:szCs w:val="20"/>
    </w:rPr>
  </w:style>
  <w:style w:type="character" w:customStyle="1" w:styleId="178">
    <w:name w:val="未处理的提及1"/>
    <w:unhideWhenUsed/>
    <w:qFormat/>
    <w:uiPriority w:val="99"/>
    <w:rPr>
      <w:color w:val="808080"/>
      <w:shd w:val="clear" w:color="auto" w:fill="E6E6E6"/>
    </w:rPr>
  </w:style>
  <w:style w:type="character" w:customStyle="1" w:styleId="179">
    <w:name w:val="正文文本 3 Char"/>
    <w:qFormat/>
    <w:uiPriority w:val="0"/>
    <w:rPr>
      <w:kern w:val="2"/>
      <w:sz w:val="16"/>
      <w:szCs w:val="16"/>
    </w:rPr>
  </w:style>
  <w:style w:type="character" w:customStyle="1" w:styleId="180">
    <w:name w:val="正文文本缩进 Char2"/>
    <w:semiHidden/>
    <w:qFormat/>
    <w:uiPriority w:val="99"/>
    <w:rPr>
      <w:rFonts w:ascii="Calibri" w:hAnsi="Calibri" w:eastAsia="宋体" w:cs="Times New Roman"/>
      <w:szCs w:val="24"/>
    </w:rPr>
  </w:style>
  <w:style w:type="character" w:customStyle="1" w:styleId="181">
    <w:name w:val="标题 3 Char"/>
    <w:qFormat/>
    <w:uiPriority w:val="0"/>
    <w:rPr>
      <w:rFonts w:ascii="仿宋_GB2312" w:hAnsi="Calibri" w:eastAsia="仿宋_GB2312" w:cs="Times New Roman"/>
      <w:b/>
      <w:kern w:val="0"/>
      <w:sz w:val="24"/>
      <w:szCs w:val="28"/>
    </w:rPr>
  </w:style>
  <w:style w:type="character" w:customStyle="1" w:styleId="182">
    <w:name w:val="批注框文本 Char2"/>
    <w:qFormat/>
    <w:uiPriority w:val="99"/>
    <w:rPr>
      <w:kern w:val="2"/>
      <w:sz w:val="18"/>
      <w:szCs w:val="18"/>
    </w:rPr>
  </w:style>
  <w:style w:type="character" w:customStyle="1" w:styleId="183">
    <w:name w:val="textcontents"/>
    <w:qFormat/>
    <w:uiPriority w:val="0"/>
    <w:rPr>
      <w:rFonts w:cs="Times New Roman"/>
    </w:rPr>
  </w:style>
  <w:style w:type="character" w:customStyle="1" w:styleId="184">
    <w:name w:val="ht1"/>
    <w:qFormat/>
    <w:uiPriority w:val="0"/>
    <w:rPr>
      <w:rFonts w:ascii="黑体" w:eastAsia="黑体"/>
      <w:b/>
      <w:bCs/>
    </w:rPr>
  </w:style>
  <w:style w:type="character" w:customStyle="1" w:styleId="185">
    <w:name w:val="标题 Char"/>
    <w:qFormat/>
    <w:uiPriority w:val="0"/>
    <w:rPr>
      <w:rFonts w:ascii="Cambria" w:hAnsi="Cambria" w:eastAsia="宋体" w:cs="Times New Roman"/>
      <w:b/>
      <w:bCs/>
      <w:kern w:val="2"/>
      <w:sz w:val="32"/>
      <w:szCs w:val="32"/>
    </w:rPr>
  </w:style>
  <w:style w:type="character" w:customStyle="1" w:styleId="186">
    <w:name w:val="14t1"/>
    <w:qFormat/>
    <w:uiPriority w:val="0"/>
    <w:rPr>
      <w:rFonts w:hint="eastAsia" w:ascii="宋体" w:hAnsi="宋体" w:eastAsia="宋体"/>
      <w:sz w:val="11"/>
      <w:szCs w:val="11"/>
    </w:rPr>
  </w:style>
  <w:style w:type="character" w:customStyle="1" w:styleId="187">
    <w:name w:val="Char Char36"/>
    <w:qFormat/>
    <w:uiPriority w:val="0"/>
    <w:rPr>
      <w:rFonts w:ascii="仿宋_GB2312" w:eastAsia="仿宋_GB2312" w:cs="MingLiU"/>
      <w:b/>
      <w:sz w:val="24"/>
      <w:szCs w:val="28"/>
    </w:rPr>
  </w:style>
  <w:style w:type="character" w:customStyle="1" w:styleId="188">
    <w:name w:val="文档结构图 Char"/>
    <w:qFormat/>
    <w:uiPriority w:val="0"/>
    <w:rPr>
      <w:rFonts w:ascii="宋体"/>
      <w:kern w:val="2"/>
      <w:sz w:val="18"/>
      <w:szCs w:val="18"/>
    </w:rPr>
  </w:style>
  <w:style w:type="character" w:customStyle="1" w:styleId="189">
    <w:name w:val="普通文字 Char Char2"/>
    <w:qFormat/>
    <w:uiPriority w:val="0"/>
    <w:rPr>
      <w:rFonts w:ascii="宋体" w:hAnsi="Courier New"/>
      <w:kern w:val="2"/>
      <w:sz w:val="28"/>
      <w:szCs w:val="28"/>
    </w:rPr>
  </w:style>
  <w:style w:type="character" w:customStyle="1" w:styleId="190">
    <w:name w:val="HTML 预设格式 Char"/>
    <w:qFormat/>
    <w:uiPriority w:val="0"/>
    <w:rPr>
      <w:rFonts w:ascii="宋体" w:hAnsi="宋体" w:eastAsia="宋体" w:cs="宋体"/>
      <w:color w:val="000000"/>
      <w:sz w:val="24"/>
      <w:szCs w:val="24"/>
    </w:rPr>
  </w:style>
  <w:style w:type="character" w:customStyle="1" w:styleId="191">
    <w:name w:val="纯文本 Char"/>
    <w:qFormat/>
    <w:uiPriority w:val="0"/>
    <w:rPr>
      <w:rFonts w:ascii="宋体" w:hAnsi="Courier New"/>
      <w:sz w:val="28"/>
      <w:szCs w:val="28"/>
    </w:rPr>
  </w:style>
  <w:style w:type="character" w:customStyle="1" w:styleId="192">
    <w:name w:val="批注框文本 Char"/>
    <w:qFormat/>
    <w:uiPriority w:val="0"/>
    <w:rPr>
      <w:sz w:val="18"/>
      <w:szCs w:val="18"/>
    </w:rPr>
  </w:style>
  <w:style w:type="character" w:customStyle="1" w:styleId="193">
    <w:name w:val="页脚 Char"/>
    <w:qFormat/>
    <w:uiPriority w:val="0"/>
    <w:rPr>
      <w:sz w:val="18"/>
      <w:szCs w:val="18"/>
    </w:rPr>
  </w:style>
  <w:style w:type="character" w:customStyle="1" w:styleId="194">
    <w:name w:val="正文文本缩进 3 Char"/>
    <w:qFormat/>
    <w:uiPriority w:val="0"/>
    <w:rPr>
      <w:kern w:val="2"/>
      <w:sz w:val="16"/>
      <w:szCs w:val="16"/>
    </w:rPr>
  </w:style>
  <w:style w:type="character" w:customStyle="1" w:styleId="195">
    <w:name w:val="标题 8 Char"/>
    <w:qFormat/>
    <w:uiPriority w:val="0"/>
    <w:rPr>
      <w:rFonts w:ascii="Arial" w:hAnsi="Arial" w:eastAsia="黑体" w:cs="Times New Roman"/>
      <w:sz w:val="24"/>
      <w:szCs w:val="24"/>
    </w:rPr>
  </w:style>
  <w:style w:type="character" w:customStyle="1" w:styleId="196">
    <w:name w:val="正文文本缩进 2 Char1"/>
    <w:qFormat/>
    <w:uiPriority w:val="0"/>
    <w:rPr>
      <w:sz w:val="28"/>
      <w:szCs w:val="24"/>
    </w:rPr>
  </w:style>
  <w:style w:type="character" w:customStyle="1" w:styleId="197">
    <w:name w:val="标题 5 Char1"/>
    <w:qFormat/>
    <w:uiPriority w:val="0"/>
    <w:rPr>
      <w:rFonts w:ascii="宋体" w:hAnsi="宋体" w:eastAsia="宋体" w:cs="宋体"/>
      <w:b/>
      <w:bCs/>
      <w:sz w:val="20"/>
      <w:szCs w:val="20"/>
    </w:rPr>
  </w:style>
  <w:style w:type="character" w:customStyle="1" w:styleId="198">
    <w:name w:val="批注文字 Char"/>
    <w:qFormat/>
    <w:uiPriority w:val="0"/>
    <w:rPr>
      <w:rFonts w:ascii="Times New Roman" w:hAnsi="Times New Roman" w:eastAsia="宋体" w:cs="Times New Roman"/>
      <w:kern w:val="2"/>
      <w:sz w:val="21"/>
      <w:szCs w:val="24"/>
    </w:rPr>
  </w:style>
  <w:style w:type="character" w:customStyle="1" w:styleId="199">
    <w:name w:val="style121"/>
    <w:qFormat/>
    <w:uiPriority w:val="0"/>
    <w:rPr>
      <w:rFonts w:hint="eastAsia" w:ascii="宋体" w:hAnsi="宋体" w:eastAsia="宋体"/>
      <w:sz w:val="18"/>
      <w:szCs w:val="18"/>
    </w:rPr>
  </w:style>
  <w:style w:type="character" w:customStyle="1" w:styleId="200">
    <w:name w:val="Section Char"/>
    <w:qFormat/>
    <w:uiPriority w:val="0"/>
    <w:rPr>
      <w:rFonts w:ascii="仿宋_GB2312" w:eastAsia="仿宋_GB2312" w:cs="MingLiU"/>
      <w:b/>
      <w:sz w:val="24"/>
      <w:szCs w:val="28"/>
      <w:lang w:val="en-US" w:eastAsia="zh-CN" w:bidi="ar-SA"/>
    </w:rPr>
  </w:style>
  <w:style w:type="character" w:customStyle="1" w:styleId="201">
    <w:name w:val="正文文本 3 Char1"/>
    <w:qFormat/>
    <w:uiPriority w:val="0"/>
    <w:rPr>
      <w:kern w:val="2"/>
      <w:sz w:val="16"/>
      <w:szCs w:val="16"/>
    </w:rPr>
  </w:style>
  <w:style w:type="character" w:customStyle="1" w:styleId="202">
    <w:name w:val="文档结构图 Char1"/>
    <w:qFormat/>
    <w:uiPriority w:val="0"/>
    <w:rPr>
      <w:rFonts w:ascii="宋体"/>
      <w:kern w:val="2"/>
      <w:sz w:val="18"/>
      <w:szCs w:val="18"/>
    </w:rPr>
  </w:style>
  <w:style w:type="character" w:customStyle="1" w:styleId="203">
    <w:name w:val="标题 9 Char"/>
    <w:qFormat/>
    <w:uiPriority w:val="0"/>
    <w:rPr>
      <w:rFonts w:ascii="Arial" w:hAnsi="Arial" w:eastAsia="黑体" w:cs="Times New Roman"/>
      <w:szCs w:val="21"/>
    </w:rPr>
  </w:style>
  <w:style w:type="character" w:customStyle="1" w:styleId="204">
    <w:name w:val="页眉 Char1"/>
    <w:semiHidden/>
    <w:qFormat/>
    <w:uiPriority w:val="99"/>
    <w:rPr>
      <w:kern w:val="2"/>
      <w:sz w:val="18"/>
      <w:szCs w:val="18"/>
    </w:rPr>
  </w:style>
  <w:style w:type="character" w:customStyle="1" w:styleId="205">
    <w:name w:val="Char Char35"/>
    <w:qFormat/>
    <w:uiPriority w:val="0"/>
    <w:rPr>
      <w:rFonts w:ascii="仿宋_GB2312" w:eastAsia="仿宋_GB2312" w:cs="MingLiU"/>
      <w:b/>
      <w:sz w:val="24"/>
      <w:szCs w:val="28"/>
    </w:rPr>
  </w:style>
  <w:style w:type="character" w:customStyle="1" w:styleId="206">
    <w:name w:val="日期 Char2"/>
    <w:qFormat/>
    <w:uiPriority w:val="99"/>
    <w:rPr>
      <w:kern w:val="2"/>
      <w:sz w:val="21"/>
      <w:szCs w:val="24"/>
    </w:rPr>
  </w:style>
  <w:style w:type="character" w:customStyle="1" w:styleId="207">
    <w:name w:val="Char Char22"/>
    <w:qFormat/>
    <w:uiPriority w:val="0"/>
    <w:rPr>
      <w:b/>
      <w:bCs/>
      <w:kern w:val="2"/>
      <w:sz w:val="32"/>
      <w:szCs w:val="32"/>
    </w:rPr>
  </w:style>
  <w:style w:type="character" w:customStyle="1" w:styleId="208">
    <w:name w:val="正文文本缩进 2 Char2"/>
    <w:semiHidden/>
    <w:qFormat/>
    <w:uiPriority w:val="99"/>
    <w:rPr>
      <w:rFonts w:ascii="Calibri" w:hAnsi="Calibri" w:eastAsia="宋体" w:cs="Times New Roman"/>
      <w:szCs w:val="24"/>
    </w:rPr>
  </w:style>
  <w:style w:type="character" w:customStyle="1" w:styleId="209">
    <w:name w:val="明显强调1"/>
    <w:qFormat/>
    <w:uiPriority w:val="0"/>
    <w:rPr>
      <w:b/>
      <w:bCs/>
      <w:i/>
      <w:iCs/>
      <w:color w:val="4F81BD"/>
    </w:rPr>
  </w:style>
  <w:style w:type="character" w:customStyle="1" w:styleId="210">
    <w:name w:val="Char Char14"/>
    <w:qFormat/>
    <w:uiPriority w:val="0"/>
    <w:rPr>
      <w:kern w:val="2"/>
      <w:sz w:val="18"/>
      <w:szCs w:val="18"/>
    </w:rPr>
  </w:style>
  <w:style w:type="character" w:customStyle="1" w:styleId="211">
    <w:name w:val="s3"/>
    <w:qFormat/>
    <w:uiPriority w:val="0"/>
  </w:style>
  <w:style w:type="character" w:customStyle="1" w:styleId="212">
    <w:name w:val="标题 1 Char"/>
    <w:qFormat/>
    <w:uiPriority w:val="0"/>
    <w:rPr>
      <w:rFonts w:ascii="Times New Roman" w:hAnsi="Times New Roman" w:eastAsia="宋体" w:cs="Times New Roman"/>
      <w:b/>
      <w:bCs/>
      <w:kern w:val="44"/>
      <w:sz w:val="44"/>
      <w:szCs w:val="44"/>
    </w:rPr>
  </w:style>
  <w:style w:type="character" w:customStyle="1" w:styleId="213">
    <w:name w:val="日期 Char3"/>
    <w:semiHidden/>
    <w:qFormat/>
    <w:uiPriority w:val="99"/>
    <w:rPr>
      <w:rFonts w:ascii="Calibri" w:hAnsi="Calibri" w:eastAsia="宋体" w:cs="Times New Roman"/>
      <w:szCs w:val="24"/>
    </w:rPr>
  </w:style>
  <w:style w:type="character" w:customStyle="1" w:styleId="214">
    <w:name w:val="title11"/>
    <w:qFormat/>
    <w:uiPriority w:val="0"/>
    <w:rPr>
      <w:b/>
      <w:bCs/>
      <w:color w:val="FFFFFF"/>
      <w:sz w:val="11"/>
      <w:szCs w:val="11"/>
    </w:rPr>
  </w:style>
  <w:style w:type="character" w:customStyle="1" w:styleId="215">
    <w:name w:val="明显引用 Char2"/>
    <w:qFormat/>
    <w:uiPriority w:val="99"/>
    <w:rPr>
      <w:b/>
      <w:bCs/>
      <w:i/>
      <w:iCs/>
      <w:color w:val="4F81BD"/>
      <w:kern w:val="2"/>
      <w:sz w:val="21"/>
      <w:szCs w:val="24"/>
    </w:rPr>
  </w:style>
  <w:style w:type="character" w:customStyle="1" w:styleId="216">
    <w:name w:val="批注框文本 Char3"/>
    <w:semiHidden/>
    <w:qFormat/>
    <w:uiPriority w:val="99"/>
    <w:rPr>
      <w:rFonts w:ascii="Calibri" w:hAnsi="Calibri" w:eastAsia="宋体" w:cs="Times New Roman"/>
      <w:sz w:val="18"/>
      <w:szCs w:val="18"/>
    </w:rPr>
  </w:style>
  <w:style w:type="character" w:customStyle="1" w:styleId="217">
    <w:name w:val="Char Char33"/>
    <w:qFormat/>
    <w:uiPriority w:val="0"/>
    <w:rPr>
      <w:rFonts w:ascii="仿宋_GB2312" w:eastAsia="仿宋_GB2312" w:cs="MingLiU"/>
      <w:b/>
      <w:sz w:val="24"/>
      <w:szCs w:val="28"/>
    </w:rPr>
  </w:style>
  <w:style w:type="character" w:customStyle="1" w:styleId="218">
    <w:name w:val="标题 2 Char"/>
    <w:qFormat/>
    <w:uiPriority w:val="0"/>
    <w:rPr>
      <w:rFonts w:ascii="仿宋_GB2312" w:hAnsi="Calibri" w:eastAsia="仿宋_GB2312" w:cs="Times New Roman"/>
      <w:b/>
      <w:spacing w:val="1"/>
      <w:w w:val="99"/>
      <w:kern w:val="0"/>
      <w:sz w:val="28"/>
      <w:szCs w:val="32"/>
    </w:rPr>
  </w:style>
  <w:style w:type="character" w:customStyle="1" w:styleId="219">
    <w:name w:val="l1"/>
    <w:basedOn w:val="48"/>
    <w:qFormat/>
    <w:uiPriority w:val="0"/>
  </w:style>
  <w:style w:type="character" w:customStyle="1" w:styleId="220">
    <w:name w:val="手改 Char Char"/>
    <w:qFormat/>
    <w:uiPriority w:val="0"/>
    <w:rPr>
      <w:kern w:val="2"/>
      <w:sz w:val="21"/>
      <w:szCs w:val="24"/>
    </w:rPr>
  </w:style>
  <w:style w:type="character" w:customStyle="1" w:styleId="221">
    <w:name w:val="style21"/>
    <w:qFormat/>
    <w:uiPriority w:val="0"/>
    <w:rPr>
      <w:b/>
      <w:bCs/>
      <w:sz w:val="28"/>
      <w:szCs w:val="28"/>
    </w:rPr>
  </w:style>
  <w:style w:type="character" w:customStyle="1" w:styleId="222">
    <w:name w:val="Char Char24"/>
    <w:qFormat/>
    <w:uiPriority w:val="0"/>
    <w:rPr>
      <w:b/>
      <w:bCs/>
      <w:kern w:val="44"/>
      <w:sz w:val="44"/>
      <w:szCs w:val="44"/>
    </w:rPr>
  </w:style>
  <w:style w:type="character" w:customStyle="1" w:styleId="223">
    <w:name w:val="纯文本 Char1"/>
    <w:qFormat/>
    <w:uiPriority w:val="0"/>
    <w:rPr>
      <w:rFonts w:ascii="宋体" w:hAnsi="Courier New" w:cs="Courier New"/>
      <w:kern w:val="2"/>
      <w:sz w:val="21"/>
      <w:szCs w:val="21"/>
    </w:rPr>
  </w:style>
  <w:style w:type="character" w:customStyle="1" w:styleId="224">
    <w:name w:val="尾注文本 Char"/>
    <w:qFormat/>
    <w:uiPriority w:val="0"/>
    <w:rPr>
      <w:kern w:val="2"/>
      <w:sz w:val="21"/>
      <w:szCs w:val="24"/>
    </w:rPr>
  </w:style>
  <w:style w:type="character" w:customStyle="1" w:styleId="225">
    <w:name w:val="日期 Char1"/>
    <w:qFormat/>
    <w:uiPriority w:val="0"/>
    <w:rPr>
      <w:kern w:val="2"/>
      <w:sz w:val="21"/>
      <w:szCs w:val="22"/>
    </w:rPr>
  </w:style>
  <w:style w:type="character" w:customStyle="1" w:styleId="226">
    <w:name w:val="正文文本 Char1"/>
    <w:qFormat/>
    <w:uiPriority w:val="0"/>
    <w:rPr>
      <w:kern w:val="2"/>
      <w:sz w:val="21"/>
      <w:szCs w:val="22"/>
    </w:rPr>
  </w:style>
  <w:style w:type="character" w:customStyle="1" w:styleId="227">
    <w:name w:val="标题 9 Char1"/>
    <w:qFormat/>
    <w:uiPriority w:val="0"/>
    <w:rPr>
      <w:rFonts w:ascii="Times New Roman" w:hAnsi="Times New Roman" w:eastAsia="仿宋_GB2312" w:cs="Times New Roman"/>
      <w:sz w:val="30"/>
      <w:szCs w:val="20"/>
    </w:rPr>
  </w:style>
  <w:style w:type="character" w:customStyle="1" w:styleId="228">
    <w:name w:val="脚注文本 Char1"/>
    <w:qFormat/>
    <w:uiPriority w:val="0"/>
    <w:rPr>
      <w:rFonts w:ascii="Arial" w:hAnsi="Arial" w:cs="Arial"/>
      <w:sz w:val="18"/>
      <w:szCs w:val="18"/>
      <w:lang w:eastAsia="en-US"/>
    </w:rPr>
  </w:style>
  <w:style w:type="character" w:customStyle="1" w:styleId="229">
    <w:name w:val="正文文本缩进 Char"/>
    <w:qFormat/>
    <w:uiPriority w:val="0"/>
    <w:rPr>
      <w:rFonts w:ascii="黑体" w:hAnsi="宋体" w:eastAsia="黑体"/>
      <w:color w:val="000000"/>
      <w:sz w:val="28"/>
      <w:szCs w:val="32"/>
    </w:rPr>
  </w:style>
  <w:style w:type="character" w:customStyle="1" w:styleId="230">
    <w:name w:val="HTML 预设格式 Char1"/>
    <w:qFormat/>
    <w:uiPriority w:val="0"/>
    <w:rPr>
      <w:rFonts w:ascii="宋体" w:hAnsi="宋体" w:cs="宋体"/>
      <w:color w:val="000000"/>
      <w:sz w:val="24"/>
      <w:szCs w:val="24"/>
    </w:rPr>
  </w:style>
  <w:style w:type="character" w:customStyle="1" w:styleId="231">
    <w:name w:val="引用 Char3"/>
    <w:qFormat/>
    <w:uiPriority w:val="29"/>
    <w:rPr>
      <w:rFonts w:ascii="Calibri" w:hAnsi="Calibri" w:eastAsia="宋体" w:cs="Times New Roman"/>
      <w:i/>
      <w:iCs/>
      <w:color w:val="000000"/>
      <w:szCs w:val="24"/>
    </w:rPr>
  </w:style>
  <w:style w:type="character" w:customStyle="1" w:styleId="232">
    <w:name w:val="标题 7 Char1"/>
    <w:qFormat/>
    <w:uiPriority w:val="0"/>
    <w:rPr>
      <w:rFonts w:ascii="Times New Roman" w:hAnsi="Times New Roman" w:eastAsia="仿宋_GB2312" w:cs="Times New Roman"/>
      <w:sz w:val="30"/>
      <w:szCs w:val="20"/>
    </w:rPr>
  </w:style>
  <w:style w:type="character" w:customStyle="1" w:styleId="233">
    <w:name w:val="普通文字 Char Char1"/>
    <w:qFormat/>
    <w:uiPriority w:val="0"/>
    <w:rPr>
      <w:rFonts w:ascii="宋体" w:hAnsi="Courier New"/>
      <w:kern w:val="2"/>
      <w:sz w:val="28"/>
      <w:szCs w:val="28"/>
    </w:rPr>
  </w:style>
  <w:style w:type="character" w:customStyle="1" w:styleId="234">
    <w:name w:val="明显参考1"/>
    <w:qFormat/>
    <w:uiPriority w:val="0"/>
    <w:rPr>
      <w:b/>
      <w:bCs/>
      <w:smallCaps/>
      <w:color w:val="C0504D"/>
      <w:spacing w:val="5"/>
      <w:u w:val="single"/>
    </w:rPr>
  </w:style>
  <w:style w:type="character" w:customStyle="1" w:styleId="235">
    <w:name w:val="正文文本缩进 Char1"/>
    <w:qFormat/>
    <w:uiPriority w:val="0"/>
    <w:rPr>
      <w:kern w:val="2"/>
      <w:sz w:val="21"/>
      <w:szCs w:val="24"/>
    </w:rPr>
  </w:style>
  <w:style w:type="character" w:customStyle="1" w:styleId="236">
    <w:name w:val="页眉 Char"/>
    <w:qFormat/>
    <w:uiPriority w:val="0"/>
    <w:rPr>
      <w:sz w:val="18"/>
      <w:szCs w:val="18"/>
    </w:rPr>
  </w:style>
  <w:style w:type="character" w:customStyle="1" w:styleId="237">
    <w:name w:val="style31"/>
    <w:qFormat/>
    <w:uiPriority w:val="0"/>
    <w:rPr>
      <w:sz w:val="10"/>
      <w:szCs w:val="10"/>
    </w:rPr>
  </w:style>
  <w:style w:type="character" w:customStyle="1" w:styleId="238">
    <w:name w:val="日期 Char"/>
    <w:qFormat/>
    <w:uiPriority w:val="0"/>
    <w:rPr>
      <w:rFonts w:eastAsia="宋体"/>
      <w:szCs w:val="24"/>
    </w:rPr>
  </w:style>
  <w:style w:type="character" w:customStyle="1" w:styleId="239">
    <w:name w:val="标题 1 Char1"/>
    <w:qFormat/>
    <w:uiPriority w:val="0"/>
    <w:rPr>
      <w:rFonts w:ascii="Times New Roman" w:hAnsi="Times New Roman" w:eastAsia="宋体" w:cs="Times New Roman"/>
      <w:b/>
      <w:bCs/>
      <w:kern w:val="44"/>
      <w:sz w:val="44"/>
      <w:szCs w:val="44"/>
    </w:rPr>
  </w:style>
  <w:style w:type="character" w:customStyle="1" w:styleId="240">
    <w:name w:val="main_tdbg_7601"/>
    <w:qFormat/>
    <w:uiPriority w:val="0"/>
    <w:rPr>
      <w:sz w:val="14"/>
      <w:szCs w:val="14"/>
    </w:rPr>
  </w:style>
  <w:style w:type="character" w:customStyle="1" w:styleId="241">
    <w:name w:val="尾注文本 Char1"/>
    <w:qFormat/>
    <w:uiPriority w:val="0"/>
    <w:rPr>
      <w:rFonts w:ascii="Arial" w:hAnsi="Arial" w:cs="Arial"/>
      <w:szCs w:val="24"/>
      <w:lang w:eastAsia="en-US"/>
    </w:rPr>
  </w:style>
  <w:style w:type="character" w:customStyle="1" w:styleId="242">
    <w:name w:val="副标题 Char2"/>
    <w:qFormat/>
    <w:uiPriority w:val="11"/>
    <w:rPr>
      <w:rFonts w:ascii="Cambria" w:hAnsi="Cambria" w:eastAsia="宋体" w:cs="Times New Roman"/>
      <w:b/>
      <w:bCs/>
      <w:kern w:val="28"/>
      <w:sz w:val="32"/>
      <w:szCs w:val="32"/>
    </w:rPr>
  </w:style>
  <w:style w:type="character" w:customStyle="1" w:styleId="243">
    <w:name w:val="正文文本缩进 3 Char2"/>
    <w:semiHidden/>
    <w:qFormat/>
    <w:uiPriority w:val="99"/>
    <w:rPr>
      <w:rFonts w:ascii="Calibri" w:hAnsi="Calibri" w:eastAsia="宋体" w:cs="Times New Roman"/>
      <w:sz w:val="16"/>
      <w:szCs w:val="16"/>
    </w:rPr>
  </w:style>
  <w:style w:type="character" w:customStyle="1" w:styleId="244">
    <w:name w:val="Char Char34"/>
    <w:qFormat/>
    <w:uiPriority w:val="0"/>
    <w:rPr>
      <w:rFonts w:ascii="仿宋_GB2312" w:eastAsia="仿宋_GB2312" w:cs="MingLiU"/>
      <w:b/>
      <w:spacing w:val="1"/>
      <w:w w:val="99"/>
      <w:sz w:val="28"/>
      <w:szCs w:val="32"/>
    </w:rPr>
  </w:style>
  <w:style w:type="character" w:customStyle="1" w:styleId="245">
    <w:name w:val="docpro"/>
    <w:basedOn w:val="48"/>
    <w:qFormat/>
    <w:uiPriority w:val="0"/>
  </w:style>
  <w:style w:type="character" w:customStyle="1" w:styleId="246">
    <w:name w:val="ITTHEADER1 Char"/>
    <w:qFormat/>
    <w:uiPriority w:val="0"/>
    <w:rPr>
      <w:rFonts w:eastAsia="黑体"/>
      <w:kern w:val="2"/>
      <w:sz w:val="44"/>
      <w:szCs w:val="44"/>
      <w:lang w:val="en-US" w:eastAsia="zh-CN" w:bidi="ar-SA"/>
    </w:rPr>
  </w:style>
  <w:style w:type="character" w:customStyle="1" w:styleId="247">
    <w:name w:val="副标题 Char"/>
    <w:qFormat/>
    <w:uiPriority w:val="0"/>
    <w:rPr>
      <w:rFonts w:ascii="Cambria" w:hAnsi="Cambria" w:eastAsia="宋体" w:cs="Times New Roman"/>
      <w:b/>
      <w:bCs/>
      <w:kern w:val="28"/>
      <w:sz w:val="32"/>
      <w:szCs w:val="32"/>
    </w:rPr>
  </w:style>
  <w:style w:type="character" w:customStyle="1" w:styleId="248">
    <w:name w:val="标题 Char2"/>
    <w:qFormat/>
    <w:uiPriority w:val="10"/>
    <w:rPr>
      <w:rFonts w:ascii="Cambria" w:hAnsi="Cambria" w:eastAsia="宋体" w:cs="Times New Roman"/>
      <w:b/>
      <w:bCs/>
      <w:sz w:val="32"/>
      <w:szCs w:val="32"/>
    </w:rPr>
  </w:style>
  <w:style w:type="character" w:customStyle="1" w:styleId="249">
    <w:name w:val="正文文本 Char2"/>
    <w:qFormat/>
    <w:uiPriority w:val="99"/>
    <w:rPr>
      <w:kern w:val="2"/>
      <w:sz w:val="21"/>
      <w:szCs w:val="24"/>
    </w:rPr>
  </w:style>
  <w:style w:type="character" w:customStyle="1" w:styleId="250">
    <w:name w:val="0d1471"/>
    <w:qFormat/>
    <w:uiPriority w:val="0"/>
    <w:rPr>
      <w:color w:val="000000"/>
      <w:sz w:val="11"/>
      <w:szCs w:val="11"/>
      <w:u w:val="none"/>
    </w:rPr>
  </w:style>
  <w:style w:type="character" w:customStyle="1" w:styleId="251">
    <w:name w:val="批注主题 Char"/>
    <w:qFormat/>
    <w:uiPriority w:val="0"/>
    <w:rPr>
      <w:rFonts w:ascii="宋体" w:hAnsi="宋体" w:eastAsia="宋体"/>
      <w:kern w:val="2"/>
      <w:sz w:val="24"/>
      <w:szCs w:val="28"/>
      <w:lang w:val="en-US" w:eastAsia="zh-CN" w:bidi="ar-SA"/>
    </w:rPr>
  </w:style>
  <w:style w:type="character" w:customStyle="1" w:styleId="252">
    <w:name w:val="正文文本 2 Char1"/>
    <w:semiHidden/>
    <w:qFormat/>
    <w:uiPriority w:val="99"/>
    <w:rPr>
      <w:rFonts w:ascii="Calibri" w:hAnsi="Calibri" w:eastAsia="宋体" w:cs="Times New Roman"/>
      <w:szCs w:val="24"/>
    </w:rPr>
  </w:style>
  <w:style w:type="character" w:customStyle="1" w:styleId="253">
    <w:name w:val="批注框文本 Char1"/>
    <w:qFormat/>
    <w:uiPriority w:val="0"/>
    <w:rPr>
      <w:kern w:val="2"/>
      <w:sz w:val="18"/>
      <w:szCs w:val="18"/>
    </w:rPr>
  </w:style>
  <w:style w:type="character" w:customStyle="1" w:styleId="254">
    <w:name w:val="引用 Char"/>
    <w:link w:val="151"/>
    <w:qFormat/>
    <w:uiPriority w:val="0"/>
    <w:rPr>
      <w:rFonts w:ascii="Times New Roman" w:hAnsi="Times New Roman" w:eastAsia="宋体" w:cs="Times New Roman"/>
      <w:i/>
      <w:iCs/>
      <w:color w:val="000000"/>
      <w:szCs w:val="24"/>
    </w:rPr>
  </w:style>
  <w:style w:type="character" w:customStyle="1" w:styleId="255">
    <w:name w:val="font161"/>
    <w:qFormat/>
    <w:uiPriority w:val="0"/>
    <w:rPr>
      <w:b/>
      <w:bCs/>
      <w:sz w:val="32"/>
      <w:szCs w:val="32"/>
    </w:rPr>
  </w:style>
  <w:style w:type="character" w:customStyle="1" w:styleId="256">
    <w:name w:val="Char Char32"/>
    <w:qFormat/>
    <w:uiPriority w:val="0"/>
    <w:rPr>
      <w:rFonts w:ascii="仿宋_GB2312" w:eastAsia="仿宋_GB2312" w:cs="MingLiU"/>
      <w:b/>
      <w:spacing w:val="1"/>
      <w:w w:val="99"/>
      <w:sz w:val="28"/>
      <w:szCs w:val="32"/>
    </w:rPr>
  </w:style>
  <w:style w:type="character" w:customStyle="1" w:styleId="257">
    <w:name w:val="标题 2 Char1"/>
    <w:qFormat/>
    <w:uiPriority w:val="0"/>
    <w:rPr>
      <w:rFonts w:ascii="Cambria" w:hAnsi="Cambria" w:eastAsia="宋体" w:cs="Times New Roman"/>
      <w:b/>
      <w:bCs/>
      <w:kern w:val="2"/>
      <w:sz w:val="32"/>
      <w:szCs w:val="32"/>
    </w:rPr>
  </w:style>
  <w:style w:type="character" w:customStyle="1" w:styleId="258">
    <w:name w:val="ss16"/>
    <w:qFormat/>
    <w:uiPriority w:val="0"/>
    <w:rPr>
      <w:rFonts w:hint="eastAsia" w:ascii="宋体" w:hAnsi="宋体" w:eastAsia="宋体"/>
      <w:color w:val="000000"/>
      <w:sz w:val="9"/>
      <w:szCs w:val="9"/>
    </w:rPr>
  </w:style>
  <w:style w:type="character" w:customStyle="1" w:styleId="259">
    <w:name w:val="批注主题 Char3"/>
    <w:semiHidden/>
    <w:qFormat/>
    <w:uiPriority w:val="99"/>
    <w:rPr>
      <w:rFonts w:ascii="Calibri" w:hAnsi="Calibri" w:eastAsia="宋体" w:cs="Times New Roman"/>
      <w:b/>
      <w:bCs/>
      <w:szCs w:val="24"/>
    </w:rPr>
  </w:style>
  <w:style w:type="character" w:customStyle="1" w:styleId="260">
    <w:name w:val="明显引用 Char1"/>
    <w:link w:val="169"/>
    <w:qFormat/>
    <w:uiPriority w:val="30"/>
    <w:rPr>
      <w:rFonts w:ascii="Times New Roman" w:hAnsi="Times New Roman" w:eastAsia="宋体" w:cs="Times New Roman"/>
      <w:b/>
      <w:bCs/>
      <w:i/>
      <w:iCs/>
      <w:color w:val="4F81BD"/>
      <w:szCs w:val="20"/>
    </w:rPr>
  </w:style>
  <w:style w:type="character" w:customStyle="1" w:styleId="261">
    <w:name w:val="HTML 预设格式 Char2"/>
    <w:semiHidden/>
    <w:qFormat/>
    <w:uiPriority w:val="99"/>
    <w:rPr>
      <w:rFonts w:ascii="Courier New" w:hAnsi="Courier New" w:eastAsia="宋体" w:cs="Courier New"/>
      <w:sz w:val="20"/>
      <w:szCs w:val="20"/>
    </w:rPr>
  </w:style>
  <w:style w:type="character" w:customStyle="1" w:styleId="262">
    <w:name w:val="Char Char17"/>
    <w:qFormat/>
    <w:uiPriority w:val="0"/>
    <w:rPr>
      <w:kern w:val="2"/>
      <w:sz w:val="26"/>
      <w:szCs w:val="24"/>
    </w:rPr>
  </w:style>
  <w:style w:type="character" w:customStyle="1" w:styleId="263">
    <w:name w:val="标题 3 Char1"/>
    <w:qFormat/>
    <w:uiPriority w:val="0"/>
    <w:rPr>
      <w:rFonts w:ascii="Times New Roman" w:hAnsi="Times New Roman" w:eastAsia="宋体" w:cs="Times New Roman"/>
      <w:b/>
      <w:bCs/>
      <w:kern w:val="2"/>
      <w:sz w:val="32"/>
      <w:szCs w:val="32"/>
    </w:rPr>
  </w:style>
  <w:style w:type="character" w:customStyle="1" w:styleId="264">
    <w:name w:val="标题 5 Char"/>
    <w:qFormat/>
    <w:uiPriority w:val="0"/>
    <w:rPr>
      <w:rFonts w:ascii="Calibri" w:hAnsi="Calibri" w:eastAsia="宋体" w:cs="Times New Roman"/>
      <w:b/>
      <w:bCs/>
      <w:sz w:val="28"/>
      <w:szCs w:val="28"/>
    </w:rPr>
  </w:style>
  <w:style w:type="character" w:customStyle="1" w:styleId="265">
    <w:name w:val="页脚 Char1"/>
    <w:semiHidden/>
    <w:qFormat/>
    <w:uiPriority w:val="99"/>
    <w:rPr>
      <w:kern w:val="2"/>
      <w:sz w:val="18"/>
      <w:szCs w:val="18"/>
    </w:rPr>
  </w:style>
  <w:style w:type="character" w:customStyle="1" w:styleId="266">
    <w:name w:val="unnamed1"/>
    <w:basedOn w:val="48"/>
    <w:qFormat/>
    <w:uiPriority w:val="0"/>
  </w:style>
  <w:style w:type="character" w:customStyle="1" w:styleId="267">
    <w:name w:val="Char Char9"/>
    <w:qFormat/>
    <w:locked/>
    <w:uiPriority w:val="0"/>
    <w:rPr>
      <w:rFonts w:ascii="仿宋_GB2312" w:eastAsia="仿宋_GB2312" w:cs="MingLiU"/>
      <w:b/>
      <w:sz w:val="24"/>
      <w:szCs w:val="28"/>
      <w:lang w:val="en-US" w:eastAsia="zh-CN" w:bidi="ar-SA"/>
    </w:rPr>
  </w:style>
  <w:style w:type="character" w:customStyle="1" w:styleId="268">
    <w:name w:val="批注主题 Char1"/>
    <w:qFormat/>
    <w:uiPriority w:val="0"/>
    <w:rPr>
      <w:b/>
      <w:bCs/>
      <w:kern w:val="2"/>
      <w:sz w:val="21"/>
      <w:szCs w:val="22"/>
    </w:rPr>
  </w:style>
  <w:style w:type="character" w:customStyle="1" w:styleId="269">
    <w:name w:val="纯文本 Char2"/>
    <w:semiHidden/>
    <w:qFormat/>
    <w:uiPriority w:val="99"/>
    <w:rPr>
      <w:rFonts w:ascii="宋体" w:hAnsi="Courier New" w:eastAsia="宋体" w:cs="Courier New"/>
      <w:szCs w:val="21"/>
    </w:rPr>
  </w:style>
  <w:style w:type="character" w:customStyle="1" w:styleId="270">
    <w:name w:val="intel3"/>
    <w:basedOn w:val="48"/>
    <w:qFormat/>
    <w:uiPriority w:val="0"/>
  </w:style>
  <w:style w:type="character" w:customStyle="1" w:styleId="271">
    <w:name w:val="subhead1"/>
    <w:qFormat/>
    <w:uiPriority w:val="0"/>
    <w:rPr>
      <w:rFonts w:hint="default" w:ascii="Tahoma" w:hAnsi="Tahoma" w:cs="Tahoma"/>
      <w:color w:val="000000"/>
      <w:sz w:val="18"/>
      <w:szCs w:val="18"/>
      <w:u w:val="none"/>
      <w:shd w:val="clear" w:color="auto" w:fill="FFFFFF"/>
    </w:rPr>
  </w:style>
  <w:style w:type="character" w:customStyle="1" w:styleId="272">
    <w:name w:val="脚注文本 Char"/>
    <w:qFormat/>
    <w:uiPriority w:val="0"/>
    <w:rPr>
      <w:rFonts w:ascii="Arial" w:hAnsi="Arial" w:eastAsia="宋体" w:cs="Arial"/>
      <w:sz w:val="18"/>
      <w:szCs w:val="18"/>
      <w:lang w:eastAsia="en-US"/>
    </w:rPr>
  </w:style>
  <w:style w:type="character" w:customStyle="1" w:styleId="273">
    <w:name w:val="引用 Char1"/>
    <w:link w:val="173"/>
    <w:qFormat/>
    <w:uiPriority w:val="29"/>
    <w:rPr>
      <w:rFonts w:ascii="Times New Roman" w:hAnsi="Times New Roman" w:eastAsia="宋体" w:cs="Times New Roman"/>
      <w:i/>
      <w:iCs/>
      <w:color w:val="000000"/>
      <w:szCs w:val="20"/>
    </w:rPr>
  </w:style>
  <w:style w:type="character" w:customStyle="1" w:styleId="274">
    <w:name w:val="正文文本缩进 2 Char"/>
    <w:qFormat/>
    <w:uiPriority w:val="0"/>
    <w:rPr>
      <w:kern w:val="2"/>
      <w:sz w:val="21"/>
      <w:szCs w:val="24"/>
    </w:rPr>
  </w:style>
  <w:style w:type="character" w:customStyle="1" w:styleId="275">
    <w:name w:val="脚注文本 Char2"/>
    <w:semiHidden/>
    <w:qFormat/>
    <w:uiPriority w:val="99"/>
    <w:rPr>
      <w:rFonts w:ascii="Calibri" w:hAnsi="Calibri" w:eastAsia="宋体" w:cs="Times New Roman"/>
      <w:sz w:val="18"/>
      <w:szCs w:val="18"/>
    </w:rPr>
  </w:style>
  <w:style w:type="character" w:customStyle="1" w:styleId="276">
    <w:name w:val="ca-141"/>
    <w:qFormat/>
    <w:uiPriority w:val="0"/>
    <w:rPr>
      <w:rFonts w:hint="eastAsia" w:ascii="仿宋_GB2312" w:eastAsia="仿宋_GB2312"/>
      <w:sz w:val="21"/>
      <w:szCs w:val="21"/>
    </w:rPr>
  </w:style>
  <w:style w:type="character" w:customStyle="1" w:styleId="277">
    <w:name w:val="标题 Char1"/>
    <w:qFormat/>
    <w:uiPriority w:val="10"/>
    <w:rPr>
      <w:szCs w:val="24"/>
      <w:u w:val="single"/>
      <w:lang w:eastAsia="en-US"/>
    </w:rPr>
  </w:style>
  <w:style w:type="character" w:customStyle="1" w:styleId="278">
    <w:name w:val="style161"/>
    <w:qFormat/>
    <w:uiPriority w:val="0"/>
    <w:rPr>
      <w:b/>
      <w:bCs/>
      <w:color w:val="333333"/>
    </w:rPr>
  </w:style>
  <w:style w:type="character" w:customStyle="1" w:styleId="279">
    <w:name w:val="Char Char11"/>
    <w:qFormat/>
    <w:locked/>
    <w:uiPriority w:val="0"/>
    <w:rPr>
      <w:rFonts w:eastAsia="黑体"/>
      <w:kern w:val="2"/>
      <w:sz w:val="44"/>
      <w:szCs w:val="44"/>
      <w:lang w:val="en-US" w:eastAsia="zh-CN" w:bidi="ar-SA"/>
    </w:rPr>
  </w:style>
  <w:style w:type="character" w:customStyle="1" w:styleId="280">
    <w:name w:val="标题 7 Char"/>
    <w:qFormat/>
    <w:uiPriority w:val="0"/>
    <w:rPr>
      <w:rFonts w:ascii="Calibri" w:hAnsi="Calibri" w:eastAsia="宋体" w:cs="Times New Roman"/>
      <w:b/>
      <w:bCs/>
      <w:sz w:val="24"/>
      <w:szCs w:val="24"/>
    </w:rPr>
  </w:style>
  <w:style w:type="character" w:customStyle="1" w:styleId="281">
    <w:name w:val="批注文字 Char1"/>
    <w:qFormat/>
    <w:uiPriority w:val="99"/>
    <w:rPr>
      <w:rFonts w:ascii="Times New Roman" w:hAnsi="Times New Roman" w:eastAsia="宋体" w:cs="Times New Roman"/>
      <w:szCs w:val="24"/>
    </w:rPr>
  </w:style>
  <w:style w:type="character" w:customStyle="1" w:styleId="282">
    <w:name w:val="明显引用 Char"/>
    <w:qFormat/>
    <w:uiPriority w:val="0"/>
    <w:rPr>
      <w:rFonts w:ascii="Times New Roman" w:hAnsi="Times New Roman" w:eastAsia="宋体" w:cs="Times New Roman"/>
      <w:b/>
      <w:bCs/>
      <w:i/>
      <w:iCs/>
      <w:color w:val="4F81BD"/>
      <w:kern w:val="2"/>
      <w:sz w:val="21"/>
      <w:szCs w:val="24"/>
    </w:rPr>
  </w:style>
  <w:style w:type="character" w:customStyle="1" w:styleId="283">
    <w:name w:val="正文文本缩进 3 Char1"/>
    <w:qFormat/>
    <w:uiPriority w:val="0"/>
    <w:rPr>
      <w:rFonts w:ascii="宋体" w:hAnsi="宋体"/>
      <w:kern w:val="2"/>
      <w:sz w:val="28"/>
      <w:szCs w:val="28"/>
    </w:rPr>
  </w:style>
  <w:style w:type="character" w:customStyle="1" w:styleId="284">
    <w:name w:val="正文文本 Char"/>
    <w:qFormat/>
    <w:uiPriority w:val="0"/>
    <w:rPr>
      <w:sz w:val="26"/>
      <w:szCs w:val="24"/>
    </w:rPr>
  </w:style>
  <w:style w:type="character" w:customStyle="1" w:styleId="285">
    <w:name w:val="Char Char12"/>
    <w:qFormat/>
    <w:uiPriority w:val="0"/>
    <w:rPr>
      <w:rFonts w:eastAsia="黑体"/>
      <w:kern w:val="2"/>
      <w:sz w:val="44"/>
      <w:szCs w:val="44"/>
      <w:lang w:val="en-US" w:eastAsia="zh-CN" w:bidi="ar-SA"/>
    </w:rPr>
  </w:style>
  <w:style w:type="character" w:customStyle="1" w:styleId="286">
    <w:name w:val="标题 4 Char"/>
    <w:qFormat/>
    <w:uiPriority w:val="0"/>
    <w:rPr>
      <w:rFonts w:ascii="仿宋_GB2312" w:hAnsi="Calibri" w:eastAsia="仿宋_GB2312" w:cs="Times New Roman"/>
      <w:b/>
      <w:kern w:val="0"/>
      <w:sz w:val="24"/>
      <w:szCs w:val="28"/>
    </w:rPr>
  </w:style>
  <w:style w:type="character" w:customStyle="1" w:styleId="287">
    <w:name w:val="明显引用 Char3"/>
    <w:qFormat/>
    <w:uiPriority w:val="30"/>
    <w:rPr>
      <w:rFonts w:ascii="Calibri" w:hAnsi="Calibri" w:eastAsia="宋体" w:cs="Times New Roman"/>
      <w:b/>
      <w:bCs/>
      <w:i/>
      <w:iCs/>
      <w:color w:val="4F81BD"/>
      <w:szCs w:val="24"/>
    </w:rPr>
  </w:style>
  <w:style w:type="character" w:customStyle="1" w:styleId="288">
    <w:name w:val="引用 Char2"/>
    <w:qFormat/>
    <w:uiPriority w:val="99"/>
    <w:rPr>
      <w:i/>
      <w:iCs/>
      <w:color w:val="000000"/>
      <w:kern w:val="2"/>
      <w:sz w:val="21"/>
      <w:szCs w:val="24"/>
    </w:rPr>
  </w:style>
  <w:style w:type="character" w:customStyle="1" w:styleId="289">
    <w:name w:val="不明显强调1"/>
    <w:qFormat/>
    <w:uiPriority w:val="0"/>
    <w:rPr>
      <w:i/>
      <w:iCs/>
      <w:color w:val="808080"/>
    </w:rPr>
  </w:style>
  <w:style w:type="character" w:customStyle="1" w:styleId="290">
    <w:name w:val="color_red1"/>
    <w:qFormat/>
    <w:uiPriority w:val="0"/>
    <w:rPr>
      <w:color w:val="FA0004"/>
    </w:rPr>
  </w:style>
  <w:style w:type="character" w:customStyle="1" w:styleId="291">
    <w:name w:val="标题5 Char Char"/>
    <w:link w:val="158"/>
    <w:qFormat/>
    <w:uiPriority w:val="0"/>
    <w:rPr>
      <w:rFonts w:ascii="Arial" w:hAnsi="Arial" w:eastAsia="宋体" w:cs="Times New Roman"/>
      <w:b/>
      <w:bCs/>
      <w:kern w:val="0"/>
      <w:sz w:val="24"/>
      <w:szCs w:val="32"/>
    </w:rPr>
  </w:style>
  <w:style w:type="character" w:customStyle="1" w:styleId="292">
    <w:name w:val="标题4 Char Char"/>
    <w:link w:val="127"/>
    <w:qFormat/>
    <w:uiPriority w:val="0"/>
    <w:rPr>
      <w:rFonts w:ascii="Arial" w:hAnsi="Arial" w:eastAsia="宋体" w:cs="Times New Roman"/>
      <w:b/>
      <w:bCs/>
      <w:kern w:val="0"/>
      <w:sz w:val="24"/>
      <w:szCs w:val="32"/>
    </w:rPr>
  </w:style>
  <w:style w:type="character" w:customStyle="1" w:styleId="293">
    <w:name w:val="Char Char13"/>
    <w:qFormat/>
    <w:uiPriority w:val="0"/>
    <w:rPr>
      <w:kern w:val="2"/>
      <w:sz w:val="18"/>
      <w:szCs w:val="18"/>
    </w:rPr>
  </w:style>
  <w:style w:type="character" w:customStyle="1" w:styleId="294">
    <w:name w:val="文档结构图 Char2"/>
    <w:qFormat/>
    <w:uiPriority w:val="99"/>
    <w:rPr>
      <w:kern w:val="2"/>
      <w:sz w:val="21"/>
      <w:szCs w:val="24"/>
      <w:shd w:val="clear" w:color="auto" w:fill="000080"/>
    </w:rPr>
  </w:style>
  <w:style w:type="character" w:customStyle="1" w:styleId="295">
    <w:name w:val="批注文字 Char2"/>
    <w:qFormat/>
    <w:uiPriority w:val="0"/>
    <w:rPr>
      <w:rFonts w:ascii="Calibri" w:hAnsi="Calibri" w:eastAsia="宋体" w:cs="Times New Roman"/>
      <w:szCs w:val="24"/>
    </w:rPr>
  </w:style>
  <w:style w:type="character" w:customStyle="1" w:styleId="296">
    <w:name w:val="标题 8 Char1"/>
    <w:qFormat/>
    <w:uiPriority w:val="0"/>
    <w:rPr>
      <w:rFonts w:ascii="Times New Roman" w:hAnsi="Arial" w:eastAsia="仿宋_GB2312" w:cs="Times New Roman"/>
      <w:sz w:val="30"/>
      <w:szCs w:val="20"/>
    </w:rPr>
  </w:style>
  <w:style w:type="character" w:customStyle="1" w:styleId="297">
    <w:name w:val="Char Char21"/>
    <w:qFormat/>
    <w:uiPriority w:val="0"/>
    <w:rPr>
      <w:rFonts w:ascii="宋体" w:hAnsi="宋体" w:cs="宋体"/>
      <w:b/>
      <w:bCs/>
      <w:sz w:val="24"/>
      <w:szCs w:val="24"/>
    </w:rPr>
  </w:style>
  <w:style w:type="character" w:customStyle="1" w:styleId="298">
    <w:name w:val="标题 6 Char1"/>
    <w:qFormat/>
    <w:uiPriority w:val="0"/>
    <w:rPr>
      <w:rFonts w:ascii="Times New Roman" w:hAnsi="Arial" w:eastAsia="仿宋_GB2312" w:cs="Times New Roman"/>
      <w:sz w:val="30"/>
      <w:szCs w:val="20"/>
    </w:rPr>
  </w:style>
  <w:style w:type="character" w:customStyle="1" w:styleId="299">
    <w:name w:val="副标题 Char1"/>
    <w:qFormat/>
    <w:uiPriority w:val="0"/>
    <w:rPr>
      <w:szCs w:val="24"/>
      <w:u w:val="single"/>
      <w:lang w:eastAsia="en-US"/>
    </w:rPr>
  </w:style>
  <w:style w:type="character" w:customStyle="1" w:styleId="300">
    <w:name w:val="正文文本 Char3"/>
    <w:semiHidden/>
    <w:qFormat/>
    <w:uiPriority w:val="99"/>
    <w:rPr>
      <w:rFonts w:ascii="Calibri" w:hAnsi="Calibri" w:eastAsia="宋体" w:cs="Times New Roman"/>
      <w:szCs w:val="24"/>
    </w:rPr>
  </w:style>
  <w:style w:type="character" w:customStyle="1" w:styleId="301">
    <w:name w:val="标题 4 Char1"/>
    <w:qFormat/>
    <w:uiPriority w:val="0"/>
    <w:rPr>
      <w:rFonts w:ascii="宋体" w:hAnsi="宋体" w:eastAsia="宋体" w:cs="宋体"/>
      <w:b/>
      <w:bCs/>
      <w:sz w:val="24"/>
      <w:szCs w:val="24"/>
    </w:rPr>
  </w:style>
  <w:style w:type="character" w:customStyle="1" w:styleId="302">
    <w:name w:val="文档结构图 Char3"/>
    <w:semiHidden/>
    <w:qFormat/>
    <w:uiPriority w:val="99"/>
    <w:rPr>
      <w:rFonts w:ascii="宋体" w:hAnsi="Calibri" w:eastAsia="宋体" w:cs="Times New Roman"/>
      <w:sz w:val="18"/>
      <w:szCs w:val="18"/>
    </w:rPr>
  </w:style>
  <w:style w:type="character" w:customStyle="1" w:styleId="303">
    <w:name w:val="正文文本 3 Char2"/>
    <w:semiHidden/>
    <w:qFormat/>
    <w:uiPriority w:val="99"/>
    <w:rPr>
      <w:rFonts w:ascii="Calibri" w:hAnsi="Calibri" w:eastAsia="宋体" w:cs="Times New Roman"/>
      <w:sz w:val="16"/>
      <w:szCs w:val="16"/>
    </w:rPr>
  </w:style>
  <w:style w:type="character" w:customStyle="1" w:styleId="304">
    <w:name w:val="Char Char23"/>
    <w:qFormat/>
    <w:uiPriority w:val="0"/>
    <w:rPr>
      <w:rFonts w:ascii="Cambria" w:hAnsi="Cambria" w:eastAsia="宋体" w:cs="Times New Roman"/>
      <w:b/>
      <w:bCs/>
      <w:kern w:val="2"/>
      <w:sz w:val="32"/>
      <w:szCs w:val="32"/>
    </w:rPr>
  </w:style>
  <w:style w:type="character" w:customStyle="1" w:styleId="305">
    <w:name w:val="尾注文本 Char2"/>
    <w:semiHidden/>
    <w:qFormat/>
    <w:uiPriority w:val="99"/>
    <w:rPr>
      <w:rFonts w:ascii="Calibri" w:hAnsi="Calibri" w:eastAsia="宋体" w:cs="Times New Roman"/>
      <w:szCs w:val="24"/>
    </w:rPr>
  </w:style>
  <w:style w:type="character" w:customStyle="1" w:styleId="306">
    <w:name w:val="书籍标题1"/>
    <w:qFormat/>
    <w:uiPriority w:val="0"/>
    <w:rPr>
      <w:b/>
      <w:bCs/>
      <w:smallCaps/>
      <w:spacing w:val="5"/>
    </w:rPr>
  </w:style>
  <w:style w:type="character" w:customStyle="1" w:styleId="307">
    <w:name w:val="ITTHEADER2 Char"/>
    <w:qFormat/>
    <w:uiPriority w:val="0"/>
    <w:rPr>
      <w:rFonts w:ascii="仿宋_GB2312" w:eastAsia="仿宋_GB2312" w:cs="MingLiU"/>
      <w:b/>
      <w:spacing w:val="1"/>
      <w:w w:val="99"/>
      <w:sz w:val="28"/>
      <w:szCs w:val="32"/>
      <w:lang w:val="en-US" w:eastAsia="zh-CN" w:bidi="ar-SA"/>
    </w:rPr>
  </w:style>
  <w:style w:type="character" w:customStyle="1" w:styleId="308">
    <w:name w:val="批注文字 Char Char"/>
    <w:qFormat/>
    <w:uiPriority w:val="0"/>
    <w:rPr>
      <w:rFonts w:ascii="宋体" w:hAnsi="Times New Roman" w:eastAsia="宋体" w:cs="Times New Roman"/>
      <w:sz w:val="28"/>
      <w:szCs w:val="20"/>
    </w:rPr>
  </w:style>
  <w:style w:type="character" w:customStyle="1" w:styleId="309">
    <w:name w:val="批注主题 Char2"/>
    <w:qFormat/>
    <w:uiPriority w:val="99"/>
    <w:rPr>
      <w:b/>
      <w:bCs/>
      <w:kern w:val="2"/>
      <w:sz w:val="21"/>
      <w:szCs w:val="24"/>
    </w:rPr>
  </w:style>
  <w:style w:type="character" w:customStyle="1" w:styleId="310">
    <w:name w:val="normaltext1"/>
    <w:qFormat/>
    <w:uiPriority w:val="0"/>
    <w:rPr>
      <w:rFonts w:hint="default" w:ascii="ˎ̥" w:hAnsi="ˎ̥"/>
      <w:sz w:val="9"/>
      <w:szCs w:val="9"/>
    </w:rPr>
  </w:style>
  <w:style w:type="character" w:customStyle="1" w:styleId="311">
    <w:name w:val="不明显参考1"/>
    <w:qFormat/>
    <w:uiPriority w:val="0"/>
    <w:rPr>
      <w:smallCaps/>
      <w:color w:val="C0504D"/>
      <w:u w:val="single"/>
    </w:rPr>
  </w:style>
  <w:style w:type="character" w:customStyle="1" w:styleId="312">
    <w:name w:val="标题 6 Char"/>
    <w:qFormat/>
    <w:uiPriority w:val="0"/>
    <w:rPr>
      <w:rFonts w:ascii="Arial" w:hAnsi="Arial" w:eastAsia="黑体" w:cs="Times New Roman"/>
      <w:b/>
      <w:bCs/>
      <w:sz w:val="24"/>
      <w:szCs w:val="24"/>
    </w:rPr>
  </w:style>
  <w:style w:type="character" w:customStyle="1" w:styleId="313">
    <w:name w:val="未处理的提及2"/>
    <w:basedOn w:val="48"/>
    <w:unhideWhenUsed/>
    <w:qFormat/>
    <w:uiPriority w:val="99"/>
    <w:rPr>
      <w:color w:val="605E5C"/>
      <w:shd w:val="clear" w:color="auto" w:fill="E1DFDD"/>
    </w:rPr>
  </w:style>
  <w:style w:type="paragraph" w:customStyle="1" w:styleId="314">
    <w:name w:val="Table Paragraph"/>
    <w:basedOn w:val="1"/>
    <w:qFormat/>
    <w:uiPriority w:val="1"/>
    <w:rPr>
      <w:rFonts w:ascii="宋体" w:hAnsi="宋体" w:cs="宋体"/>
    </w:rPr>
  </w:style>
  <w:style w:type="table" w:customStyle="1" w:styleId="315">
    <w:name w:val="网格型1"/>
    <w:basedOn w:val="4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6">
    <w:name w:val="占位符文本1"/>
    <w:basedOn w:val="48"/>
    <w:semiHidden/>
    <w:qFormat/>
    <w:uiPriority w:val="99"/>
    <w:rPr>
      <w:color w:val="808080"/>
    </w:rPr>
  </w:style>
  <w:style w:type="character" w:customStyle="1" w:styleId="317">
    <w:name w:val="datetime"/>
    <w:basedOn w:val="48"/>
    <w:qFormat/>
    <w:uiPriority w:val="0"/>
    <w:rPr>
      <w:color w:val="808080"/>
      <w:sz w:val="21"/>
      <w:szCs w:val="21"/>
    </w:rPr>
  </w:style>
  <w:style w:type="character" w:customStyle="1" w:styleId="318">
    <w:name w:val="datetime1"/>
    <w:basedOn w:val="48"/>
    <w:qFormat/>
    <w:uiPriority w:val="0"/>
  </w:style>
  <w:style w:type="character" w:customStyle="1" w:styleId="319">
    <w:name w:val="datetime2"/>
    <w:basedOn w:val="48"/>
    <w:qFormat/>
    <w:uiPriority w:val="0"/>
  </w:style>
  <w:style w:type="character" w:customStyle="1" w:styleId="320">
    <w:name w:val="datetime3"/>
    <w:basedOn w:val="48"/>
    <w:qFormat/>
    <w:uiPriority w:val="0"/>
  </w:style>
  <w:style w:type="character" w:customStyle="1" w:styleId="321">
    <w:name w:val="datetime4"/>
    <w:basedOn w:val="48"/>
    <w:qFormat/>
    <w:uiPriority w:val="0"/>
    <w:rPr>
      <w:color w:val="808080"/>
      <w:sz w:val="21"/>
      <w:szCs w:val="21"/>
    </w:rPr>
  </w:style>
  <w:style w:type="character" w:customStyle="1" w:styleId="322">
    <w:name w:val="cldh_img"/>
    <w:basedOn w:val="48"/>
    <w:qFormat/>
    <w:uiPriority w:val="0"/>
  </w:style>
  <w:style w:type="character" w:customStyle="1" w:styleId="323">
    <w:name w:val="cldh_img1"/>
    <w:basedOn w:val="48"/>
    <w:qFormat/>
    <w:uiPriority w:val="0"/>
  </w:style>
  <w:style w:type="character" w:customStyle="1" w:styleId="324">
    <w:name w:val="cldh_img2"/>
    <w:basedOn w:val="48"/>
    <w:qFormat/>
    <w:uiPriority w:val="0"/>
  </w:style>
  <w:style w:type="table" w:customStyle="1" w:styleId="325">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6">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7">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8">
    <w:name w:val="未处理的提及3"/>
    <w:basedOn w:val="48"/>
    <w:unhideWhenUsed/>
    <w:qFormat/>
    <w:uiPriority w:val="99"/>
    <w:rPr>
      <w:color w:val="605E5C"/>
      <w:shd w:val="clear" w:color="auto" w:fill="E1DFDD"/>
    </w:rPr>
  </w:style>
  <w:style w:type="paragraph" w:customStyle="1" w:styleId="329">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30">
    <w:name w:val="未处理的提及4"/>
    <w:basedOn w:val="48"/>
    <w:unhideWhenUsed/>
    <w:qFormat/>
    <w:uiPriority w:val="99"/>
    <w:rPr>
      <w:color w:val="605E5C"/>
      <w:shd w:val="clear" w:color="auto" w:fill="E1DFDD"/>
    </w:rPr>
  </w:style>
  <w:style w:type="paragraph" w:customStyle="1" w:styleId="331">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32">
    <w:name w:val="列表段落2"/>
    <w:basedOn w:val="1"/>
    <w:qFormat/>
    <w:uiPriority w:val="1"/>
    <w:pPr>
      <w:ind w:left="100" w:firstLine="420"/>
    </w:pPr>
    <w:rPr>
      <w:rFonts w:ascii="宋体" w:hAnsi="宋体" w:cs="宋体"/>
    </w:rPr>
  </w:style>
  <w:style w:type="paragraph" w:customStyle="1" w:styleId="333">
    <w:name w:val="修订4"/>
    <w:hidden/>
    <w:unhideWhenUsed/>
    <w:qFormat/>
    <w:uiPriority w:val="99"/>
    <w:rPr>
      <w:rFonts w:ascii="Times New Roman" w:hAnsi="Times New Roman" w:eastAsia="宋体" w:cs="Times New Roman"/>
      <w:kern w:val="2"/>
      <w:sz w:val="21"/>
      <w:szCs w:val="24"/>
      <w:lang w:val="en-US" w:eastAsia="zh-CN" w:bidi="ar-SA"/>
    </w:rPr>
  </w:style>
  <w:style w:type="paragraph" w:styleId="334">
    <w:name w:val="List Paragraph"/>
    <w:basedOn w:val="1"/>
    <w:qFormat/>
    <w:uiPriority w:val="1"/>
    <w:pPr>
      <w:ind w:left="100" w:firstLine="420"/>
    </w:pPr>
    <w:rPr>
      <w:rFonts w:ascii="宋体" w:hAnsi="宋体" w:cs="宋体"/>
    </w:rPr>
  </w:style>
  <w:style w:type="paragraph" w:customStyle="1" w:styleId="335">
    <w:name w:val="Table Text"/>
    <w:basedOn w:val="1"/>
    <w:semiHidden/>
    <w:qFormat/>
    <w:uiPriority w:val="0"/>
    <w:rPr>
      <w:rFonts w:ascii="宋体" w:hAnsi="宋体" w:cs="宋体"/>
      <w:sz w:val="24"/>
      <w:lang w:eastAsia="en-US"/>
    </w:rPr>
  </w:style>
  <w:style w:type="paragraph" w:customStyle="1" w:styleId="33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6.png"/><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159</Pages>
  <Words>21567</Words>
  <Characters>23324</Characters>
  <Lines>3622</Lines>
  <Paragraphs>3503</Paragraphs>
  <TotalTime>4</TotalTime>
  <ScaleCrop>false</ScaleCrop>
  <LinksUpToDate>false</LinksUpToDate>
  <CharactersWithSpaces>24618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2021-06-29T17:05:00Z</dcterms:created>
  <dc:creator>he hang</dc:creator>
  <cp:lastModifiedBy>y</cp:lastModifiedBy>
  <cp:lastPrinted>2023-06-09T14:54:00Z</cp:lastPrinted>
  <dcterms:modified xsi:type="dcterms:W3CDTF">2026-08-08T04:39:30Z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F6FBB9A6A8AD4269AFEA2F6381B9C3B3_13</vt:lpwstr>
  </property>
  <property fmtid="{D5CDD505-2E9C-101B-9397-08002B2CF9AE}" pid="4" name="KSOTemplateDocerSaveRecord">
    <vt:lpwstr>eyJoZGlkIjoiZDQyNTAyZWUwZGZmODEyNWVlNjVkNzZhN2IzNjllNmMiLCJ1c2VySWQiOiIxMTQ0MTY0OTUxIn0=</vt:lpwstr>
  </property>
</Properties>
</file>